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är det egentligen ekonomin ska producera?</w:t>
      </w:r>
    </w:p>
    <w:p>
      <w:r>
        <w:t xml:space="preserve">Det som människor och samhället behöver, men i praktiken producerar ekonomin det som efterfrågas och är lönsamt. Det handlar om allt från mat, bostäder och energi till transporter, vård, utbildning och olika tjänster.</w:t>
      </w:r>
    </w:p>
    <w:p>
      <w:r>
        <w:t xml:space="preserve">Vad som produceras bestäms inte av en enda aktör. Företag, hushåll och offentlig sektor fattar många olika beslut som tillsammans formar produktionen. Efterfrågan, priser, regler, tillgång till resurser och politiska prioriteringar påverkar riktningen.</w:t>
      </w:r>
    </w:p>
    <w:p>
      <w:r>
        <w:t xml:space="preserve">Produktion är därför inte bara en teknisk fråga om vad vi kan tillverka. Det är också en fråga om vad samhället väljer att använda sina resurser till.</w:t>
      </w:r>
    </w:p>
    <w:p>
      <w:pPr>
        <w:pStyle w:val="Heading2"/>
      </w:pPr>
      <w:r>
        <w:rPr>
          <w:b/>
        </w:rPr>
        <w:t xml:space="preserve">Hur skapas ekonomiskt värde?</w:t>
      </w:r>
    </w:p>
    <w:p>
      <w:r>
        <w:t xml:space="preserve">Genom att resurser, arbete, kunskap och kapital används för att skapa varor eller tjänster som någon värderar och är beredd att betala för.</w:t>
      </w:r>
    </w:p>
    <w:p>
      <w:r>
        <w:t xml:space="preserve">Men det ekonomiska värdet är inte samma sak som det värde något har för människor eller natur. En verksamhet kan ge stora intäkter samtidigt som den orsakar skador som ingen betalar för, till exempel utsläpp, buller eller förlorad natur. Sådana kostnader kallas</w:t>
      </w:r>
      <w:r>
        <w:t xml:space="preserve"> </w:t>
      </w:r>
      <w:r>
        <w:rPr>
          <w:b/>
        </w:rPr>
        <w:t xml:space="preserve">externa effekter</w:t>
      </w:r>
      <w:r>
        <w:t xml:space="preserve">, eftersom de hamnar utanför affären mellan köpare och säljare.</w:t>
      </w:r>
    </w:p>
    <w:p>
      <w:r>
        <w:t xml:space="preserve">Priset berättar alltså inte alltid hela historien om vad en verksamhet betyder för samhället.</w:t>
      </w:r>
    </w:p>
    <w:p>
      <w:pPr>
        <w:pStyle w:val="Heading2"/>
      </w:pPr>
      <w:r>
        <w:rPr>
          <w:b/>
        </w:rPr>
        <w:t xml:space="preserve">Vad styr vad som produceras och konsumeras?</w:t>
      </w:r>
    </w:p>
    <w:p>
      <w:r>
        <w:t xml:space="preserve">Framför allt efterfrågan och priser. När människor köper något skapas intäkter som påverkar vad företag har anledning att producera. Företag reagerar samtidigt på kostnader, konkurrens, regler och möjligheten att göra investeringar.</w:t>
      </w:r>
    </w:p>
    <w:p>
      <w:r>
        <w:t xml:space="preserve">Offentlig verksamhet styrs delvis på andra sätt, genom politiska beslut och gemensam finansiering.</w:t>
      </w:r>
    </w:p>
    <w:p>
      <w:r>
        <w:t xml:space="preserve">Produktion och konsumtion formas alltså av ett samspel mellan marknader, människor, företag, offentlig sektor och politiska regler. Det som efterfrågas och är lönsamt får stort genomslag, men det är inte alltid det som samhället behöver mest.</w:t>
      </w:r>
    </w:p>
    <w:p>
      <w:pPr>
        <w:pStyle w:val="Heading2"/>
      </w:pPr>
      <w:r>
        <w:rPr>
          <w:b/>
        </w:rPr>
        <w:t xml:space="preserve">Varför konsumerar vi så mycket?</w:t>
      </w:r>
    </w:p>
    <w:p>
      <w:r>
        <w:t xml:space="preserve">Därför att konsumtionen drivs både av behov och av vad vi vill ha, och därför att dagens ekonomi är byggd för att den ska öka. Konsumtionen påverkas av inkomster, priser, tillgänglighet, reklam, normer, teknik och våra egna prioriteringar.</w:t>
      </w:r>
    </w:p>
    <w:p>
      <w:r>
        <w:t xml:space="preserve">När människor köper varor och tjänster skapas intäkter för företag, vilket bidrar till produktion, inkomster och sysselsättning. Därför finns det en stark koppling mellan ekonomisk aktivitet och ökad konsumtion.</w:t>
      </w:r>
    </w:p>
    <w:p>
      <w:r>
        <w:t xml:space="preserve">Samtidigt kräver konsumtionen energi, material och naturresurser. Världens materialanvändning har mer än tredubblats sedan 1970, och i rika länder använder varje invånare i genomsnitt sex gånger så mycket resurser som i fattiga länder, enligt FN:s miljöprogram UNEP. Det skapar en spänning när ekonomins utveckling behöver rymmas inom planetens gränser.</w:t>
      </w:r>
    </w:p>
    <w:p>
      <w:pPr>
        <w:pStyle w:val="Heading2"/>
      </w:pPr>
      <w:r>
        <w:rPr>
          <w:b/>
        </w:rPr>
        <w:t xml:space="preserve">Hur fördelas det som produceras?</w:t>
      </w:r>
    </w:p>
    <w:p>
      <w:r>
        <w:t xml:space="preserve">Genom flera olika mekanismer. Löner fördelar inkomster till dem som arbetar. Företagens vinster går till ägare och kan användas till investeringar eller andra ändamål. Skatter och offentliga utgifter fördelar resurser på andra sätt.</w:t>
      </w:r>
    </w:p>
    <w:p>
      <w:r>
        <w:t xml:space="preserve">Fördelningen påverkas därför både av marknaden och av politiska beslut och institutioner.</w:t>
      </w:r>
    </w:p>
    <w:p>
      <w:r>
        <w:t xml:space="preserve">Hur resurser och inkomster fördelas påverkar människors ekonomiska trygghet och handlingsutrymme. Det påverkar också vilka möjligheter människor har att delta i samhället och att forma sina liv.</w:t>
      </w:r>
    </w:p>
    <w:p>
      <w:pPr>
        <w:pStyle w:val="Heading2"/>
      </w:pPr>
      <w:r>
        <w:rPr>
          <w:b/>
        </w:rPr>
        <w:t xml:space="preserve">Vad händer när ekonomins resursanvändning överskrider naturens förutsättningar?</w:t>
      </w:r>
    </w:p>
    <w:p>
      <w:r>
        <w:t xml:space="preserve">Då försvagas de system som ekonomin själv är beroende av. Energi, material, vatten och fungerande ekosystem är förutsättningar för all ekonomisk verksamhet.</w:t>
      </w:r>
    </w:p>
    <w:p>
      <w:r>
        <w:t xml:space="preserve">Om resursanvändningen leder till att naturens förmåga att återhämta sig överskrids uppstår konsekvenser som till slut också påverkar ekonomin och människors livsvillkor. I dag är sju av de nio planetära gränserna överskridna, och alla sju utvecklas åt fel håll.</w:t>
      </w:r>
    </w:p>
    <w:p>
      <w:r>
        <w:t xml:space="preserve">Problemet är alltså inte att vi använder naturresurser. Problemet uppstår när användningen och belastningen blir större än vad de ekologiska systemen långsiktigt klarar av.</w:t>
      </w:r>
    </w:p>
    <w:p>
      <w:pPr>
        <w:pStyle w:val="Heading2"/>
      </w:pPr>
      <w:r>
        <w:rPr>
          <w:b/>
        </w:rPr>
        <w:t xml:space="preserve">Måste allt vi köper vara hållbart?</w:t>
      </w:r>
    </w:p>
    <w:p>
      <w:r>
        <w:t xml:space="preserve">Nej. Det som avgör är summan, inte varje enskilt köp. Det fungerar som hushållsbudgeten: ingen granskar varje inköp, men helheten måste gå ihop. Ett hållbart samhälle sätter ramar för helheten, och inom ramarna väljer människor och företag själva.</w:t>
      </w:r>
    </w:p>
    <w:p>
      <w:r>
        <w:t xml:space="preserve">Ramarna finns redan, i tre former. Den första är </w:t>
      </w:r>
      <w:r>
        <w:rPr>
          <w:b/>
        </w:rPr>
        <w:t xml:space="preserve">tak</w:t>
      </w:r>
      <w:r>
        <w:t xml:space="preserve"> för hur mycket som får släppas ut eller tas upp, som fiskekvoter och EU:s utsläppshandel. Taket i utsläppshandeln sänks steg för steg, och utsläppen från de verksamheter som omfattas är nu ungefär hälften så stora som 2005. Den andra är priser som tar med de externa effekterna, som den svenska koldioxidskatten sedan 1991. Den tredje är regler för det som inte går att prissätta. Genom Montrealprotokollet har nästan 99 procent av de förbjudna ozonnedbrytande ämnena fasats ut, och ozonskiktet över Antarktis väntas vara återställt omkring 2066.</w:t>
      </w:r>
    </w:p>
    <w:p>
      <w:r>
        <w:t xml:space="preserve">Blir inte det planekonomi? Nej. Ingen myndighet bestämmer vad var och en ska köpa. Tak och priser är marknadsekonomins egna verktyg, och många ekonomer förordar dem just för att de låter marknaden hitta de billigaste lösningarna. År 2019 skrev över 3 500 amerikanska ekonomer, bland dem 28 mottagare av ekonomipriset, under ett upprop för en stigande koldioxidskatt. Där har kritikerna av detaljstyrning rätt: priser bär mer kunskap än någon plan kan samla.</w:t>
      </w:r>
    </w:p>
    <w:p>
      <w:r>
        <w:t xml:space="preserve">Verktygen har ändå gränser. Tak fungerar bäst för sådant som går att mäta, som koldioxid och fisk. Förlusten av biologisk mångfald är svårare att sätta tak för, och utsläpp i andra länder från det vi importerar räknas inte in. EU har därför börjat ta betalt för utsläppen i bland annat importerat stål, cement och gödsel från 2026. Frågan är alltså inte om det går att sätta ramar, utan hur långt de räcker och hur snabbt de kan stramas åt.</w:t>
      </w:r>
    </w:p>
    <w:p>
      <w:pPr>
        <w:pStyle w:val="Heading2"/>
      </w:pPr>
      <w:r>
        <w:rPr>
          <w:b/>
        </w:rPr>
        <w:t xml:space="preserve">Så vad är egentligen svaret?</w:t>
      </w:r>
    </w:p>
    <w:p>
      <w:r>
        <w:t xml:space="preserve">Ekonomin producerar inte bara sådant vi behöver, utan också sådant som efterfrågas och är lönsamt att producera. Det är en viktig del av hur dagens ekonomiska system fungerar.</w:t>
      </w:r>
    </w:p>
    <w:p>
      <w:r>
        <w:t xml:space="preserve">Utmaningen för ett hållbart samhälle är därför inte att sluta producera eller konsumera, utan att kunna tillgodose människors behov utan att samtidigt överskrida planetens gränser.</w:t>
      </w:r>
    </w:p>
    <w:p>
      <w:r>
        <w:t xml:space="preserve">Det kräver inte att varje vara prövas eller att någon avgör vad människor får vilja ha. Det kräver att helheten ryms inom gränserna: tak där belastningen går att mäta, priser som tar med skadorna och regler för det som inte går att prissätta. Inom de ramarna får marknaden göra det den är bra på.</w:t>
      </w:r>
    </w:p>
    <w:p>
      <w:r>
        <w:rPr>
          <w:b/>
        </w:rPr>
        <w:t xml:space="preserve">Frågan är alltså inte om varje köp är hållbart, utan om summan ryms inom planetens gränser.</w:t>
      </w:r>
    </w:p>
    <w:p>
      <w:pPr>
        <w:pStyle w:val="Heading2"/>
      </w:pPr>
      <w:r>
        <w:rPr>
          <w:b/>
        </w:rPr>
        <w:t xml:space="preserve">Kopplingar till andra delar av samhället</w:t>
      </w:r>
    </w:p>
    <w:p>
      <w:pPr>
        <w:pStyle w:val="ListParagraph"/>
        <w:numPr>
          <w:ilvl w:val="0"/>
          <w:numId w:val="1"/>
        </w:numPr>
      </w:pPr>
      <w:hyperlink r:id="rId3">
        <w:r>
          <w:rPr>
            <w:rStyle w:val="Hyperlink"/>
          </w:rPr>
          <w:t xml:space="preserve">Naturens kretslopp – Ekologiska systemet</w:t>
        </w:r>
      </w:hyperlink>
    </w:p>
    <w:p>
      <w:pPr>
        <w:pStyle w:val="ListParagraph"/>
        <w:numPr>
          <w:ilvl w:val="0"/>
          <w:numId w:val="1"/>
        </w:numPr>
      </w:pPr>
      <w:hyperlink r:id="rId4">
        <w:r>
          <w:rPr>
            <w:rStyle w:val="Hyperlink"/>
          </w:rPr>
          <w:t xml:space="preserve">Resurser o material – Ekologiska systemet</w:t>
        </w:r>
      </w:hyperlink>
    </w:p>
    <w:p>
      <w:pPr>
        <w:pStyle w:val="ListParagraph"/>
        <w:numPr>
          <w:ilvl w:val="0"/>
          <w:numId w:val="1"/>
        </w:numPr>
      </w:pPr>
      <w:hyperlink r:id="rId5">
        <w:r>
          <w:rPr>
            <w:rStyle w:val="Hyperlink"/>
          </w:rPr>
          <w:t xml:space="preserve">Människans fotavtryck – Ekologiska systemet</w:t>
        </w:r>
      </w:hyperlink>
    </w:p>
    <w:p>
      <w:pPr>
        <w:pStyle w:val="ListParagraph"/>
        <w:numPr>
          <w:ilvl w:val="0"/>
          <w:numId w:val="1"/>
        </w:numPr>
      </w:pPr>
      <w:hyperlink r:id="rId6">
        <w:r>
          <w:rPr>
            <w:rStyle w:val="Hyperlink"/>
          </w:rPr>
          <w:t xml:space="preserve">Normer, värderingar och ideal – Sociala o kulturella systemet</w:t>
        </w:r>
      </w:hyperlink>
    </w:p>
    <w:p>
      <w:pPr>
        <w:pStyle w:val="ListParagraph"/>
        <w:numPr>
          <w:ilvl w:val="0"/>
          <w:numId w:val="1"/>
        </w:numPr>
      </w:pPr>
      <w:hyperlink r:id="rId7">
        <w:r>
          <w:rPr>
            <w:rStyle w:val="Hyperlink"/>
          </w:rPr>
          <w:t xml:space="preserve">Planetära gränser – Ramverk</w:t>
        </w:r>
      </w:hyperlink>
    </w:p>
    <w:p>
      <w:pPr>
        <w:pStyle w:val="ListParagraph"/>
        <w:numPr>
          <w:ilvl w:val="0"/>
          <w:numId w:val="1"/>
        </w:numPr>
      </w:pPr>
      <w:hyperlink r:id="rId8">
        <w:r>
          <w:rPr>
            <w:rStyle w:val="Hyperlink"/>
          </w:rPr>
          <w:t xml:space="preserve">Doughnut Economics – Ramverk</w:t>
        </w:r>
      </w:hyperlink>
    </w:p>
    <w:p>
      <w:pPr>
        <w:pStyle w:val="Heading2"/>
      </w:pPr>
      <w:r>
        <w:rPr>
          <w:b/>
        </w:rPr>
        <w:t xml:space="preserve">Externa källor</w:t>
      </w:r>
    </w:p>
    <w:p>
      <w:pPr>
        <w:pStyle w:val="ListParagraph"/>
        <w:numPr>
          <w:ilvl w:val="0"/>
          <w:numId w:val="1"/>
        </w:numPr>
      </w:pPr>
      <w:hyperlink r:id="rId9">
        <w:r>
          <w:rPr>
            <w:rStyle w:val="Hyperlink"/>
          </w:rPr>
          <w:t xml:space="preserve">UNEP International Resource Panel, Global Resources Outlook (2024)</w:t>
        </w:r>
      </w:hyperlink>
    </w:p>
    <w:p>
      <w:pPr>
        <w:pStyle w:val="ListParagraph"/>
        <w:numPr>
          <w:ilvl w:val="0"/>
          <w:numId w:val="1"/>
        </w:numPr>
      </w:pPr>
      <w:hyperlink r:id="rId10">
        <w:r>
          <w:rPr>
            <w:rStyle w:val="Hyperlink"/>
          </w:rPr>
          <w:t xml:space="preserve">Stockholm Resilience Centre, Planetary Health Check: sju av nio gränser överskridna (2025)</w:t>
        </w:r>
      </w:hyperlink>
    </w:p>
    <w:p>
      <w:pPr>
        <w:pStyle w:val="ListParagraph"/>
        <w:numPr>
          <w:ilvl w:val="0"/>
          <w:numId w:val="1"/>
        </w:numPr>
      </w:pPr>
      <w:hyperlink r:id="rId11">
        <w:r>
          <w:rPr>
            <w:rStyle w:val="Hyperlink"/>
          </w:rPr>
          <w:t xml:space="preserve">Europeiska kommissionen, EU:s utsläppshandel har minskat utsläppen med 50 % sedan 2005 (2025)</w:t>
        </w:r>
      </w:hyperlink>
    </w:p>
    <w:p>
      <w:pPr>
        <w:pStyle w:val="ListParagraph"/>
        <w:numPr>
          <w:ilvl w:val="0"/>
          <w:numId w:val="1"/>
        </w:numPr>
      </w:pPr>
      <w:hyperlink r:id="rId12">
        <w:r>
          <w:rPr>
            <w:rStyle w:val="Hyperlink"/>
          </w:rPr>
          <w:t xml:space="preserve">IEA, Sweden carbon tax, Government Bill 1990/91:19</w:t>
        </w:r>
      </w:hyperlink>
    </w:p>
    <w:p>
      <w:pPr>
        <w:pStyle w:val="ListParagraph"/>
        <w:numPr>
          <w:ilvl w:val="0"/>
          <w:numId w:val="1"/>
        </w:numPr>
      </w:pPr>
      <w:hyperlink r:id="rId13">
        <w:r>
          <w:rPr>
            <w:rStyle w:val="Hyperlink"/>
          </w:rPr>
          <w:t xml:space="preserve">WMO, Ozone layer recovery is on track (Scientific Assessment of Ozone Depletion 2022, 2023)</w:t>
        </w:r>
      </w:hyperlink>
    </w:p>
    <w:p>
      <w:pPr>
        <w:pStyle w:val="ListParagraph"/>
        <w:numPr>
          <w:ilvl w:val="0"/>
          <w:numId w:val="1"/>
        </w:numPr>
      </w:pPr>
      <w:hyperlink r:id="rId14">
        <w:r>
          <w:rPr>
            <w:rStyle w:val="Hyperlink"/>
          </w:rPr>
          <w:t xml:space="preserve">Economists' Statement on Carbon Dividends (2019)</w:t>
        </w:r>
      </w:hyperlink>
    </w:p>
    <w:p>
      <w:pPr>
        <w:pStyle w:val="ListParagraph"/>
        <w:numPr>
          <w:ilvl w:val="0"/>
          <w:numId w:val="1"/>
        </w:numPr>
      </w:pPr>
      <w:hyperlink r:id="rId15">
        <w:r>
          <w:rPr>
            <w:rStyle w:val="Hyperlink"/>
          </w:rPr>
          <w:t xml:space="preserve">Europeiska kommissionen, Start of the definitive period of the CBAM (2026)</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DcbwhONchlbQyicHlLFxFioiuIUy0Wb_/edit" TargetMode="External"/><Relationship Id="rId4" Type="http://schemas.openxmlformats.org/officeDocument/2006/relationships/hyperlink" Target="https://sites.google.com/d/14QVbFQiJRCtYD7ZtGj_vXc7KmXcKbV-A/p/1V-WdlQFCsl56gE9vzInZdHWeSUS3Lnzu/edit" TargetMode="External"/><Relationship Id="rId5" Type="http://schemas.openxmlformats.org/officeDocument/2006/relationships/hyperlink" Target="https://sites.google.com/d/14QVbFQiJRCtYD7ZtGj_vXc7KmXcKbV-A/p/1Uj0evxW7g-LzhsuofaQd30cac5-6wuPW/edit" TargetMode="External"/><Relationship Id="rId6" Type="http://schemas.openxmlformats.org/officeDocument/2006/relationships/hyperlink" Target="https://sites.google.com/d/14QVbFQiJRCtYD7ZtGj_vXc7KmXcKbV-A/p/1RuL23TDqDTege8H4E7EibFrOIR1P6MUS/edit" TargetMode="External"/><Relationship Id="rId7" Type="http://schemas.openxmlformats.org/officeDocument/2006/relationships/hyperlink" Target="https://sites.google.com/d/14QVbFQiJRCtYD7ZtGj_vXc7KmXcKbV-A/p/1930HNSkqPChxFe6ayVssJLPJXSUcsiXw/edit" TargetMode="External"/><Relationship Id="rId8" Type="http://schemas.openxmlformats.org/officeDocument/2006/relationships/hyperlink" Target="https://sites.google.com/d/14QVbFQiJRCtYD7ZtGj_vXc7KmXcKbV-A/p/1_Vr-ZRvJC8EkKoAG4bcila6anYiHdNXj/edit" TargetMode="External"/><Relationship Id="rId9" Type="http://schemas.openxmlformats.org/officeDocument/2006/relationships/hyperlink" Target="https://resourcepanel.org/news-events/global-resources-outlook-2024-press-release" TargetMode="External"/><Relationship Id="rId10" Type="http://schemas.openxmlformats.org/officeDocument/2006/relationships/hyperlink" Target="https://www.stockholmresilience.org/news--events/general-news/2025-09-24-seven-of-nine-planetary-boundaries-now-breached" TargetMode="External"/><Relationship Id="rId11" Type="http://schemas.openxmlformats.org/officeDocument/2006/relationships/hyperlink" Target="https://climate.ec.europa.eu/news-other-reads/news/eu-emissions-trading-system-has-reduced-emissions-sectors-covered-50-2005-2025-04-04_en" TargetMode="External"/><Relationship Id="rId12" Type="http://schemas.openxmlformats.org/officeDocument/2006/relationships/hyperlink" Target="https://www.iea.org/policies/12725-sweden-carbon-tax" TargetMode="External"/><Relationship Id="rId13" Type="http://schemas.openxmlformats.org/officeDocument/2006/relationships/hyperlink" Target="https://wmo.int/node/20737" TargetMode="External"/><Relationship Id="rId14" Type="http://schemas.openxmlformats.org/officeDocument/2006/relationships/hyperlink" Target="https://historyismade.org/" TargetMode="External"/><Relationship Id="rId15" Type="http://schemas.openxmlformats.org/officeDocument/2006/relationships/hyperlink" Target="https://trade.ec.europa.eu/access-to-markets/en/news/start-definitive-period-cbam-eu" TargetMode="External"/></Relationships>
</file>