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Helvetica Neue" w:cs="Helvetica Neue" w:eastAsia="Helvetica Neue" w:hAnsi="Helvetica Neue"/>
          <w:sz w:val="24"/>
          <w:szCs w:val="24"/>
        </w:rPr>
        <w:t xml:space="preserve">Doughnut Economics är ett sätt att beskriva förutsättningarna för en utveckling där människor kan tillgodose sina behov utan att överskrida planetens ekologiska gränser. Modellen har tagits fram av den brittiska ekonomen Kate Raworth.</w:t>
      </w:r>
    </w:p>
    <w:p>
      <w:pPr>
        <w:spacing w:after="160"/>
      </w:pPr>
      <w:r>
        <w:rPr>
          <w:rFonts w:ascii="Helvetica Neue" w:cs="Helvetica Neue" w:eastAsia="Helvetica Neue" w:hAnsi="Helvetica Neue"/>
          <w:sz w:val="24"/>
          <w:szCs w:val="24"/>
        </w:rPr>
        <w:t xml:space="preserve">Modellen består av två gränser, som brukar ritas som en munk. Den inre kanten, den </w:t>
      </w:r>
      <w:r>
        <w:rPr>
          <w:rFonts w:ascii="Helvetica Neue" w:cs="Helvetica Neue" w:eastAsia="Helvetica Neue" w:hAnsi="Helvetica Neue"/>
          <w:b/>
          <w:bCs/>
          <w:sz w:val="24"/>
          <w:szCs w:val="24"/>
        </w:rPr>
        <w:t xml:space="preserve">sociala grunden</w:t>
      </w:r>
      <w:r>
        <w:rPr>
          <w:rFonts w:ascii="Helvetica Neue" w:cs="Helvetica Neue" w:eastAsia="Helvetica Neue" w:hAnsi="Helvetica Neue"/>
          <w:sz w:val="24"/>
          <w:szCs w:val="24"/>
        </w:rPr>
        <w:t xml:space="preserve">, beskriver de grundbehov som alla människor behöver få mötta för att kunna leva ett värdigt liv, till exempel mat, vatten, hälsa, utbildning, bostad, energi och möjlighet att påverka. Grunden bygger på de sociala miniminivåer som världens regeringar enades om i FN:s SDGs. Under den sociala grunden uppstår sociala brister.</w:t>
      </w:r>
    </w:p>
    <w:p>
      <w:pPr>
        <w:spacing w:after="160"/>
      </w:pPr>
      <w:r>
        <w:rPr>
          <w:rFonts w:ascii="Helvetica Neue" w:cs="Helvetica Neue" w:eastAsia="Helvetica Neue" w:hAnsi="Helvetica Neue"/>
          <w:sz w:val="24"/>
          <w:szCs w:val="24"/>
        </w:rPr>
        <w:t xml:space="preserve">Munkens yttre kant, det </w:t>
      </w:r>
      <w:r>
        <w:rPr>
          <w:rFonts w:ascii="Helvetica Neue" w:cs="Helvetica Neue" w:eastAsia="Helvetica Neue" w:hAnsi="Helvetica Neue"/>
          <w:b/>
          <w:bCs/>
          <w:sz w:val="24"/>
          <w:szCs w:val="24"/>
        </w:rPr>
        <w:t xml:space="preserve">ekologiska taket</w:t>
      </w:r>
      <w:r>
        <w:rPr>
          <w:rFonts w:ascii="Helvetica Neue" w:cs="Helvetica Neue" w:eastAsia="Helvetica Neue" w:hAnsi="Helvetica Neue"/>
          <w:sz w:val="24"/>
          <w:szCs w:val="24"/>
        </w:rPr>
        <w:t xml:space="preserve">, beskriver de gränser som mänskligheten behöver hålla sig inom för att inte allvarligt skada jordens livsuppehållande system. Taket utgörs av de nio planetära gränserna. Över taket uppstår ekologisk överbelastning.</w:t>
      </w:r>
    </w:p>
    <w:p>
      <w:pPr>
        <w:spacing w:after="160"/>
      </w:pPr>
      <w:r>
        <w:rPr>
          <w:rFonts w:ascii="Helvetica Neue" w:cs="Helvetica Neue" w:eastAsia="Helvetica Neue" w:hAnsi="Helvetica Neue"/>
          <w:sz w:val="24"/>
          <w:szCs w:val="24"/>
        </w:rPr>
        <w:t xml:space="preserve">Mellan den sociala grunden och det ekologiska taket finns det som Doughnut Economics kallar ett </w:t>
      </w:r>
      <w:r>
        <w:rPr>
          <w:rFonts w:ascii="Helvetica Neue" w:cs="Helvetica Neue" w:eastAsia="Helvetica Neue" w:hAnsi="Helvetica Neue"/>
          <w:b/>
          <w:bCs/>
          <w:sz w:val="24"/>
          <w:szCs w:val="24"/>
        </w:rPr>
        <w:t xml:space="preserve">säkert och rättvist utrymme</w:t>
      </w:r>
      <w:r>
        <w:rPr>
          <w:rFonts w:ascii="Helvetica Neue" w:cs="Helvetica Neue" w:eastAsia="Helvetica Neue" w:hAnsi="Helvetica Neue"/>
          <w:sz w:val="24"/>
          <w:szCs w:val="24"/>
        </w:rPr>
        <w:t xml:space="preserve"> för mänskligheten. Det är inom detta utrymme som människor kan tillgodose sina behov samtidigt som planetens livsuppehållande system bevaras.</w:t>
      </w:r>
    </w:p>
    <w:p>
      <w:pPr>
        <w:pStyle w:val="Heading2"/>
        <w:spacing w:after="120" w:before="240"/>
      </w:pPr>
      <w:r>
        <w:rPr>
          <w:rFonts w:ascii="Helvetica Neue" w:cs="Helvetica Neue" w:eastAsia="Helvetica Neue" w:hAnsi="Helvetica Neue"/>
          <w:b/>
          <w:bCs/>
          <w:sz w:val="32"/>
          <w:szCs w:val="32"/>
        </w:rPr>
        <w:t xml:space="preserve">Doughnut Economics i TSS</w:t>
      </w:r>
    </w:p>
    <w:p>
      <w:pPr>
        <w:spacing w:after="160"/>
      </w:pPr>
      <w:r>
        <w:rPr>
          <w:rFonts w:ascii="Helvetica Neue" w:cs="Helvetica Neue" w:eastAsia="Helvetica Neue" w:hAnsi="Helvetica Neue"/>
          <w:sz w:val="24"/>
          <w:szCs w:val="24"/>
        </w:rPr>
        <w:t xml:space="preserve">I TSS kompletterar Doughnut Economics FN:s SDGs och Planetära gränser i Ramverket. SDGs hjälper till att beskriva vilka områden en hållbar samhällsutveckling behöver omfatta. Planetära gränser beskriver de ekologiska förutsättningar som behöver respekteras. Doughnut Economics knyter samman de sociala och ekologiska dimensionerna och visar utrymmet mellan dem.</w:t>
      </w:r>
    </w:p>
    <w:p>
      <w:pPr>
        <w:spacing w:after="160"/>
      </w:pPr>
      <w:r>
        <w:rPr>
          <w:rFonts w:ascii="Helvetica Neue" w:cs="Helvetica Neue" w:eastAsia="Helvetica Neue" w:hAnsi="Helvetica Neue"/>
          <w:sz w:val="24"/>
          <w:szCs w:val="24"/>
        </w:rPr>
        <w:t xml:space="preserve">På så sätt ger modellen ett perspektiv på den grundläggande utmaningen: att skapa goda livsvillkor för alla inom planetens ekologiska förutsättningar. Det är samma bild som i visionen om ett hållbart samhälle: ett gott liv för alla, inom planetens gränser.</w:t>
      </w:r>
    </w:p>
    <w:p>
      <w:pPr>
        <w:spacing w:after="160"/>
      </w:pPr>
      <w:r>
        <w:rPr>
          <w:rFonts w:ascii="Helvetica Neue" w:cs="Helvetica Neue" w:eastAsia="Helvetica Neue" w:hAnsi="Helvetica Neue"/>
          <w:sz w:val="24"/>
          <w:szCs w:val="24"/>
        </w:rPr>
        <w:t xml:space="preserve">När TSS talar om grundbehov är det den sociala grunden som avses. Hållbarheten avgörs inte av vilka behov människor har, utan av hur behoven tillgodoses.</w:t>
      </w:r>
    </w:p>
    <w:p>
      <w:pPr>
        <w:spacing w:after="160"/>
      </w:pPr>
      <w:r>
        <w:rPr>
          <w:rFonts w:ascii="Helvetica Neue" w:cs="Helvetica Neue" w:eastAsia="Helvetica Neue" w:hAnsi="Helvetica Neue"/>
          <w:sz w:val="24"/>
          <w:szCs w:val="24"/>
        </w:rPr>
        <w:t xml:space="preserve">Doughnut Economics är inte en parallell samhällsmodell i TSS. Den är en del av Ramverket och kan användas för att förstå och bedöma hur olika delar av samhället förhåller sig till både människors behov och planetens gränser. I Samhällskartan kan modellen relateras till Människan och till de fyra samhällssystemen.</w:t>
      </w:r>
    </w:p>
    <w:p>
      <w:pPr>
        <w:pStyle w:val="Heading2"/>
        <w:spacing w:after="120" w:before="240"/>
      </w:pPr>
      <w:r>
        <w:rPr>
          <w:rFonts w:ascii="Helvetica Neue" w:cs="Helvetica Neue" w:eastAsia="Helvetica Neue" w:hAnsi="Helvetica Neue"/>
          <w:b/>
          <w:bCs/>
          <w:sz w:val="32"/>
          <w:szCs w:val="32"/>
        </w:rPr>
        <w:t xml:space="preserve">Kopplingar till andra delar av samhället</w:t>
      </w:r>
    </w:p>
    <w:p>
      <w:pPr>
        <w:pStyle w:val="ListParagraph"/>
        <w:numPr>
          <w:ilvl w:val="0"/>
          <w:numId w:val="2"/>
        </w:numPr>
        <w:spacing w:after="80"/>
      </w:pPr>
      <w:hyperlink w:history="1" r:id="rIdcblsmaltexf7dfxmdt0f3">
        <w:r>
          <w:rPr>
            <w:rFonts w:ascii="Helvetica Neue" w:cs="Helvetica Neue" w:eastAsia="Helvetica Neue" w:hAnsi="Helvetica Neue"/>
            <w:color w:val="1155CC"/>
            <w:sz w:val="24"/>
            <w:szCs w:val="24"/>
          </w:rPr>
          <w:t xml:space="preserve">Visionen – Vårt samhälle</w:t>
        </w:r>
      </w:hyperlink>
    </w:p>
    <w:p>
      <w:pPr>
        <w:pStyle w:val="ListParagraph"/>
        <w:numPr>
          <w:ilvl w:val="0"/>
          <w:numId w:val="2"/>
        </w:numPr>
        <w:spacing w:after="80"/>
      </w:pPr>
      <w:hyperlink w:history="1" r:id="rIdwiwpmaahaa6xgtvxzgdme">
        <w:r>
          <w:rPr>
            <w:rFonts w:ascii="Helvetica Neue" w:cs="Helvetica Neue" w:eastAsia="Helvetica Neue" w:hAnsi="Helvetica Neue"/>
            <w:color w:val="1155CC"/>
            <w:sz w:val="24"/>
            <w:szCs w:val="24"/>
          </w:rPr>
          <w:t xml:space="preserve">Gott liv – Sociala o kulturella systemet</w:t>
        </w:r>
      </w:hyperlink>
    </w:p>
    <w:p>
      <w:pPr>
        <w:pStyle w:val="ListParagraph"/>
        <w:numPr>
          <w:ilvl w:val="0"/>
          <w:numId w:val="2"/>
        </w:numPr>
        <w:spacing w:after="80"/>
      </w:pPr>
      <w:hyperlink w:history="1" r:id="rIdet4hawi7vae7mabggyrkc">
        <w:r>
          <w:rPr>
            <w:rFonts w:ascii="Helvetica Neue" w:cs="Helvetica Neue" w:eastAsia="Helvetica Neue" w:hAnsi="Helvetica Neue"/>
            <w:color w:val="1155CC"/>
            <w:sz w:val="24"/>
            <w:szCs w:val="24"/>
          </w:rPr>
          <w:t xml:space="preserve">Tillväxt och utveckling – Ekonomiska systemet</w:t>
        </w:r>
      </w:hyperlink>
    </w:p>
    <w:p>
      <w:pPr>
        <w:pStyle w:val="ListParagraph"/>
        <w:numPr>
          <w:ilvl w:val="0"/>
          <w:numId w:val="2"/>
        </w:numPr>
        <w:spacing w:after="80"/>
      </w:pPr>
      <w:hyperlink w:history="1" r:id="rIdhqc6x94igpuuvqeb3zbds">
        <w:r>
          <w:rPr>
            <w:rFonts w:ascii="Helvetica Neue" w:cs="Helvetica Neue" w:eastAsia="Helvetica Neue" w:hAnsi="Helvetica Neue"/>
            <w:color w:val="1155CC"/>
            <w:sz w:val="24"/>
            <w:szCs w:val="24"/>
          </w:rPr>
          <w:t xml:space="preserve">Ekologin o det hållbara samhället – Ekologiska systemet</w:t>
        </w:r>
      </w:hyperlink>
    </w:p>
    <w:p>
      <w:pPr>
        <w:pStyle w:val="ListParagraph"/>
        <w:numPr>
          <w:ilvl w:val="0"/>
          <w:numId w:val="2"/>
        </w:numPr>
        <w:spacing w:after="80"/>
      </w:pPr>
      <w:hyperlink w:history="1" r:id="rId-_bcpq6z2amsegepyfiwj">
        <w:r>
          <w:rPr>
            <w:rFonts w:ascii="Helvetica Neue" w:cs="Helvetica Neue" w:eastAsia="Helvetica Neue" w:hAnsi="Helvetica Neue"/>
            <w:color w:val="1155CC"/>
            <w:sz w:val="24"/>
            <w:szCs w:val="24"/>
          </w:rPr>
          <w:t xml:space="preserve">Demokratiska systemet</w:t>
        </w:r>
      </w:hyperlink>
    </w:p>
    <w:p>
      <w:pPr>
        <w:pStyle w:val="ListParagraph"/>
        <w:numPr>
          <w:ilvl w:val="0"/>
          <w:numId w:val="2"/>
        </w:numPr>
        <w:spacing w:after="80"/>
      </w:pPr>
      <w:hyperlink w:history="1" r:id="rId7583iylvkhpilzbw2jaws">
        <w:r>
          <w:rPr>
            <w:rFonts w:ascii="Helvetica Neue" w:cs="Helvetica Neue" w:eastAsia="Helvetica Neue" w:hAnsi="Helvetica Neue"/>
            <w:color w:val="1155CC"/>
            <w:sz w:val="24"/>
            <w:szCs w:val="24"/>
          </w:rPr>
          <w:t xml:space="preserve">Människan</w:t>
        </w:r>
      </w:hyperlink>
    </w:p>
    <w:p>
      <w:pPr>
        <w:pStyle w:val="Heading2"/>
        <w:spacing w:after="120" w:before="240"/>
      </w:pPr>
      <w:r>
        <w:rPr>
          <w:rFonts w:ascii="Helvetica Neue" w:cs="Helvetica Neue" w:eastAsia="Helvetica Neue" w:hAnsi="Helvetica Neue"/>
          <w:b/>
          <w:bCs/>
          <w:sz w:val="32"/>
          <w:szCs w:val="32"/>
        </w:rPr>
        <w:t xml:space="preserve">Externa källor</w:t>
      </w:r>
    </w:p>
    <w:p>
      <w:pPr>
        <w:pStyle w:val="ListParagraph"/>
        <w:numPr>
          <w:ilvl w:val="0"/>
          <w:numId w:val="2"/>
        </w:numPr>
        <w:spacing w:after="80"/>
      </w:pPr>
      <w:hyperlink w:history="1" r:id="rIdmmpxzscqf7oe_tnwdqnnd">
        <w:r>
          <w:rPr>
            <w:rFonts w:ascii="Helvetica Neue" w:cs="Helvetica Neue" w:eastAsia="Helvetica Neue" w:hAnsi="Helvetica Neue"/>
            <w:color w:val="1155CC"/>
            <w:sz w:val="24"/>
            <w:szCs w:val="24"/>
          </w:rPr>
          <w:t xml:space="preserve">Raworth, A Doughnut for the Anthropocene: humanity's compass in the 21st century (The Lancet Planetary Health, 2017)</w:t>
        </w:r>
      </w:hyperlink>
    </w:p>
    <w:p>
      <w:pPr>
        <w:pStyle w:val="ListParagraph"/>
        <w:numPr>
          <w:ilvl w:val="0"/>
          <w:numId w:val="2"/>
        </w:numPr>
        <w:spacing w:after="80"/>
      </w:pPr>
      <w:hyperlink w:history="1" r:id="rIdzbkxjjpzb5822kbfipq1t">
        <w:r>
          <w:rPr>
            <w:rFonts w:ascii="Helvetica Neue" w:cs="Helvetica Neue" w:eastAsia="Helvetica Neue" w:hAnsi="Helvetica Neue"/>
            <w:color w:val="1155CC"/>
            <w:sz w:val="24"/>
            <w:szCs w:val="24"/>
          </w:rPr>
          <w:t xml:space="preserve">Doughnut Economics Action Lab, What is the Doughnut?</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Helvetica Neue" w:cs="Helvetica Neue" w:eastAsia="Helvetica Neue" w:hAnsi="Helvetica Neue"/>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blsmaltexf7dfxmdt0f3" Type="http://schemas.openxmlformats.org/officeDocument/2006/relationships/hyperlink" Target="https://sites.google.com/d/14QVbFQiJRCtYD7ZtGj_vXc7KmXcKbV-A/p/17HDoRw4fcsp5fij0ZyP1rl13aoEw34ik/edit" TargetMode="External"/><Relationship Id="rIdwiwpmaahaa6xgtvxzgdme" Type="http://schemas.openxmlformats.org/officeDocument/2006/relationships/hyperlink" Target="https://sites.google.com/d/14QVbFQiJRCtYD7ZtGj_vXc7KmXcKbV-A/p/1R1rwq7bey9RiW-_Q7a-zCheWlonvO3Cg/edit" TargetMode="External"/><Relationship Id="rIdet4hawi7vae7mabggyrkc" Type="http://schemas.openxmlformats.org/officeDocument/2006/relationships/hyperlink" Target="https://sites.google.com/d/14QVbFQiJRCtYD7ZtGj_vXc7KmXcKbV-A/p/1ypMy1rGUb4x3mUzzTUb4as8fIIjmku_A/edit" TargetMode="External"/><Relationship Id="rIdhqc6x94igpuuvqeb3zbds" Type="http://schemas.openxmlformats.org/officeDocument/2006/relationships/hyperlink" Target="https://sites.google.com/d/14QVbFQiJRCtYD7ZtGj_vXc7KmXcKbV-A/p/1Rbje8ICwbEO_MEGyFoCChqFFzpl1meMi/edit" TargetMode="External"/><Relationship Id="rId-_bcpq6z2amsegepyfiwj" Type="http://schemas.openxmlformats.org/officeDocument/2006/relationships/hyperlink" Target="https://sites.google.com/d/14QVbFQiJRCtYD7ZtGj_vXc7KmXcKbV-A/p/1duS_NLSH_A9VyDpjhQZErA56-unfu4oc/edit" TargetMode="External"/><Relationship Id="rId7583iylvkhpilzbw2jaws" Type="http://schemas.openxmlformats.org/officeDocument/2006/relationships/hyperlink" Target="https://sites.google.com/d/14QVbFQiJRCtYD7ZtGj_vXc7KmXcKbV-A/p/1tsZHe91Aiz79JnCUVipaRwY8UG6Ulfng/edit" TargetMode="External"/><Relationship Id="rIdmmpxzscqf7oe_tnwdqnnd" Type="http://schemas.openxmlformats.org/officeDocument/2006/relationships/hyperlink" Target="https://doughnuteconomics.org/tools/the-lancet-planetary-health-publication" TargetMode="External"/><Relationship Id="rIdzbkxjjpzb5822kbfipq1t" Type="http://schemas.openxmlformats.org/officeDocument/2006/relationships/hyperlink" Target="https://doughnuteconomics.org/doughnut"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2026-10-19T07:33:35.280Z</dcterms:created>
  <dcterms:modified xsi:type="dcterms:W3CDTF">2026-10-19T07:33:35.291Z</dcterms:modified>
</cp:coreProperties>
</file>

<file path=docProps/custom.xml><?xml version="1.0" encoding="utf-8"?>
<Properties xmlns="http://schemas.openxmlformats.org/officeDocument/2006/custom-properties" xmlns:vt="http://schemas.openxmlformats.org/officeDocument/2006/docPropsVTypes"/>
</file>