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Vad behöver en människa för att leva ett gott liv?</w:t>
      </w:r>
    </w:p>
    <w:p>
      <w:r>
        <w:t xml:space="preserve">Ett gott liv ser olika ut för olika människor, men grunden är förvånansvärt lika. Alla behöver mat, vatten, bostad, hälsa och trygghet. Lika viktigt, men lättare att glömma, är relationer, att få lära sig, att få vara delaktig och att ha något meningsfullt att göra.</w:t>
      </w:r>
    </w:p>
    <w:p>
      <w:r>
        <w:t xml:space="preserve">Den chilenske ekonomen Manfred Max-Neef menade att människans</w:t>
      </w:r>
      <w:r>
        <w:t xml:space="preserve"> </w:t>
      </w:r>
      <w:r>
        <w:rPr>
          <w:b/>
        </w:rPr>
        <w:t xml:space="preserve">grundbehov</w:t>
      </w:r>
      <w:r>
        <w:t xml:space="preserve"> </w:t>
      </w:r>
      <w:r>
        <w:t xml:space="preserve">är få och desamma i alla kulturer och alla tider: försörjning, skydd, omsorg, förståelse, delaktighet, vila, skapande, identitet och frihet. Det som skiljer sig åt är sätten att tillgodose dem. Behovet av skydd kan mötas med en stuga eller en villa, behovet av gemenskap med en kör eller ett fotbollslag.</w:t>
      </w:r>
    </w:p>
    <w:p>
      <w:r>
        <w:t xml:space="preserve">Den skillnaden är viktig. Behoven går inte att förhandla bort, men sätten att tillgodose dem går att välja.</w:t>
      </w:r>
    </w:p>
    <w:p>
      <w:pPr>
        <w:pStyle w:val="Heading2"/>
      </w:pPr>
      <w:r>
        <w:rPr>
          <w:b/>
        </w:rPr>
        <w:t xml:space="preserve">Vad är skillnaden mellan grundbehov och allt annat vi vill ha?</w:t>
      </w:r>
    </w:p>
    <w:p>
      <w:r>
        <w:t xml:space="preserve">Grundbehoven är det alla människor behöver för att kunna leva ett värdigt liv. I Doughnut Economics kallas de tillsammans för den sociala grunden. Under den nivån uppstår brist.</w:t>
      </w:r>
    </w:p>
    <w:p>
      <w:r>
        <w:t xml:space="preserve">Ovanför grunden finns allt det som gör livet rikare för många: resor, hobbyer, upplevelser, en högre materiell standard. Det är inte mindre mänskligt att vilja ha sådant. Men det är något annat än ett grundbehov, och samhället har inte samma ansvar för att alla ska få det.</w:t>
      </w:r>
    </w:p>
    <w:p>
      <w:r>
        <w:t xml:space="preserve">Gränsen är inte alltid skarp, och den flyttar sig med tiden. För femtio år sedan var en egen telefon ingen självklarhet. I dag är det svårt att söka arbete eller kontakta myndigheter utan en mobil. Ett hållbart samhälle behöver se till att ingen hamnar under grunden. Hur stort utrymmet ovanför är avgörs av planetens gränser.</w:t>
      </w:r>
    </w:p>
    <w:p>
      <w:pPr>
        <w:pStyle w:val="Heading2"/>
      </w:pPr>
      <w:r>
        <w:rPr>
          <w:b/>
        </w:rPr>
        <w:t xml:space="preserve">Blir vi inte lyckligare av att bli rikare?</w:t>
      </w:r>
    </w:p>
    <w:p>
      <w:r>
        <w:t xml:space="preserve">Jo, oftast, men det är inte hela svaret. Det här är ett av tillväxtens starkaste argument och det ska tas på allvar. För den som lever i fattigdom gör mer pengar en enorm skillnad. Även i rika länder mår människor i genomsnitt bättre ju högre inkomst de har. En stor amerikansk studie från 2023 fann ingen tydlig inkomstnivå där mer pengar slutar göra skillnad för de flesta.</w:t>
      </w:r>
    </w:p>
    <w:p>
      <w:r>
        <w:t xml:space="preserve">Men samma studie visade att för dem som redan mår dåligt planar välbefinnandet ut vid en viss inkomst. Pengar kan inte köpa bort ensamhet, sjukdom eller brist på mening. Dessutom jämför vi oss med varandra, och det som en gång kändes som lyx blir snart det normala.</w:t>
      </w:r>
    </w:p>
    <w:p>
      <w:r>
        <w:t xml:space="preserve">Frågan för ett hållbart samhälle är därför inte om pengar spelar roll. Den är om mer konsumtion är det bästa sättet att öka människors välbefinnande när grundbehoven redan är mötta.</w:t>
      </w:r>
    </w:p>
    <w:p>
      <w:pPr>
        <w:pStyle w:val="Heading2"/>
      </w:pPr>
      <w:r>
        <w:rPr>
          <w:b/>
        </w:rPr>
        <w:t xml:space="preserve">Räcker planetens resurser till ett gott liv för alla?</w:t>
      </w:r>
    </w:p>
    <w:p>
      <w:r>
        <w:t xml:space="preserve">Ja, för grundbehoven. En studie från 2020 beräknade att tio miljarder människor skulle kunna ha en anständig levnadsstandard år 2050 med ungefär 60 procent mindre energi än världen använder i dag. Då ingår en tillräckligt stor och varm bostad med varmvatten, kylskåp, tvättmaskin, dator och mobiltelefon i varje hem, sjukvård och skola för alla och god kollektivtrafik.</w:t>
      </w:r>
    </w:p>
    <w:p>
      <w:r>
        <w:t xml:space="preserve">En annan studie, av över 150 länder, fann att inget land i dag tillgodoser invånarnas grundbehov på ett sätt som skulle vara hållbart om alla levde så. Problemet är alltså inte att grunden är för dyr för planeten. Problemet är hur mycket som läggs ovanpå den, och hur ojämnt det fördelas.</w:t>
      </w:r>
    </w:p>
    <w:p>
      <w:r>
        <w:t xml:space="preserve">Det finns alltså utrymme för mer än grunden, men inte obegränsat. Hur det utrymmet fördelas är en av de stora frågorna för ett hållbart samhälle.</w:t>
      </w:r>
    </w:p>
    <w:p>
      <w:pPr>
        <w:pStyle w:val="Heading2"/>
      </w:pPr>
      <w:r>
        <w:rPr>
          <w:b/>
        </w:rPr>
        <w:t xml:space="preserve">Vilken trygghet ska samhället erbjuda?</w:t>
      </w:r>
    </w:p>
    <w:p>
      <w:r>
        <w:t xml:space="preserve">Tryggheten att grundbehoven blir mötta, även när livet inte går som planerat. Den som blir sjuk, förlorar jobbet eller tar hand om en anhörig ska inte hamna under den sociala grunden.</w:t>
      </w:r>
    </w:p>
    <w:p>
      <w:r>
        <w:t xml:space="preserve">Den tryggheten är också en förutsättning för omställningen. Ingen ska behöva välja mellan att försörja sig och att bidra till ett hållbart samhälle. Det är samhällets uppgift att se till att det finns hållbara arbeten och vägar dit, inte den enskildes uppgift att avgöra vilka jobb som är för ohållbara att ta.</w:t>
      </w:r>
    </w:p>
    <w:p>
      <w:r>
        <w:t xml:space="preserve">Trygghet kan skapas på många sätt: genom välfärd, försäkringar, nära relationer, föreningsliv och lokalsamhälle. Välfärden är ett viktigt verktyg, men den är inte samma sak som grundbehoven. Den är ett av sätten att se till att de blir mötta.</w:t>
      </w:r>
    </w:p>
    <w:p>
      <w:pPr>
        <w:pStyle w:val="Heading2"/>
      </w:pPr>
      <w:r>
        <w:rPr>
          <w:b/>
        </w:rPr>
        <w:t xml:space="preserve">Är man en dålig medborgare om man nöjer sig med grunden?</w:t>
      </w:r>
    </w:p>
    <w:p>
      <w:r>
        <w:t xml:space="preserve">Nej. Ett samhälle bygger på ömsesidighet, men ömsesidigheten gäller grunden. Någon måste odla maten, vårda de sjuka och hålla vattnet rent. Den som kan förväntas bidra till det alla behöver, och det kan ske på många sätt: genom lönearbete, omsorg, föreningsliv eller annat.</w:t>
      </w:r>
    </w:p>
    <w:p>
      <w:r>
        <w:t xml:space="preserve">Men ingen är skyldig att arbeta för att producera andras extra livskvalitet. Den som nöjer sig med lite och ändå bidrar till det gemensamma är ingen dålig medborgare. Ur hållbarhetssynpunkt är den snarare en förebild, eftersom fotavtrycket blir mindre.</w:t>
      </w:r>
    </w:p>
    <w:p>
      <w:r>
        <w:t xml:space="preserve">Det betyder inte att det är fel att vilja mer. Det betyder att ett gott liv inte behöver mätas i hur mycket man konsumerar.</w:t>
      </w:r>
    </w:p>
    <w:p>
      <w:pPr>
        <w:pStyle w:val="Heading2"/>
      </w:pPr>
      <w:r>
        <w:rPr>
          <w:b/>
        </w:rPr>
        <w:t xml:space="preserve">Så vad är egentligen svaret?</w:t>
      </w:r>
    </w:p>
    <w:p>
      <w:r>
        <w:t xml:space="preserve">Ett gott liv kräver att grundbehoven är mötta: mat, bostad, hälsa, trygghet, relationer, lärande och delaktighet. De är få och gemensamma för alla. Det som varierar är sätten att tillgodose dem, och där finns både de största problemen och de största möjligheterna för ett hållbart samhälle.</w:t>
      </w:r>
    </w:p>
    <w:p>
      <w:r>
        <w:t xml:space="preserve">Forskningen visar att planeten räcker till grunden för alla. Det som inte räcker är ett liv där allt fler strävar mot ett allt högre tak. Ett hållbart samhälle behöver därför först se till att ingen hamnar under grunden och sedan fördela utrymmet ovanför på ett sätt som planeten tål.</w:t>
      </w:r>
    </w:p>
    <w:p>
      <w:r>
        <w:rPr>
          <w:b/>
        </w:rPr>
        <w:t xml:space="preserve">Frågan är inte hur mycket vi kan få, utan vad vi behöver för att leva gott.</w:t>
      </w:r>
    </w:p>
    <w:p>
      <w:pPr>
        <w:pStyle w:val="Heading2"/>
      </w:pPr>
      <w:r>
        <w:rPr>
          <w:b/>
        </w:rPr>
        <w:t xml:space="preserve">Kopplingar till andra delar av samhället</w:t>
      </w:r>
    </w:p>
    <w:p>
      <w:pPr>
        <w:pStyle w:val="ListParagraph"/>
        <w:numPr>
          <w:ilvl w:val="0"/>
          <w:numId w:val="1"/>
        </w:numPr>
      </w:pPr>
      <w:hyperlink r:id="rId3">
        <w:r>
          <w:rPr>
            <w:rStyle w:val="Hyperlink"/>
          </w:rPr>
          <w:t xml:space="preserve">Produktion och konsumtion – Ekonomiska systemet</w:t>
        </w:r>
      </w:hyperlink>
    </w:p>
    <w:p>
      <w:pPr>
        <w:pStyle w:val="ListParagraph"/>
        <w:numPr>
          <w:ilvl w:val="0"/>
          <w:numId w:val="1"/>
        </w:numPr>
      </w:pPr>
      <w:hyperlink r:id="rId4">
        <w:r>
          <w:rPr>
            <w:rStyle w:val="Hyperlink"/>
          </w:rPr>
          <w:t xml:space="preserve">Tillväxt och utveckling – Ekonomiska systemet</w:t>
        </w:r>
      </w:hyperlink>
    </w:p>
    <w:p>
      <w:pPr>
        <w:pStyle w:val="ListParagraph"/>
        <w:numPr>
          <w:ilvl w:val="0"/>
          <w:numId w:val="1"/>
        </w:numPr>
      </w:pPr>
      <w:hyperlink r:id="rId5">
        <w:r>
          <w:rPr>
            <w:rStyle w:val="Hyperlink"/>
          </w:rPr>
          <w:t xml:space="preserve">Arbete och försörjning – Ekonomiska systemet</w:t>
        </w:r>
      </w:hyperlink>
    </w:p>
    <w:p>
      <w:pPr>
        <w:pStyle w:val="ListParagraph"/>
        <w:numPr>
          <w:ilvl w:val="0"/>
          <w:numId w:val="1"/>
        </w:numPr>
      </w:pPr>
      <w:hyperlink r:id="rId6">
        <w:r>
          <w:rPr>
            <w:rStyle w:val="Hyperlink"/>
          </w:rPr>
          <w:t xml:space="preserve">Människans fotavtryck – Ekologiska systemet</w:t>
        </w:r>
      </w:hyperlink>
    </w:p>
    <w:p>
      <w:pPr>
        <w:pStyle w:val="ListParagraph"/>
        <w:numPr>
          <w:ilvl w:val="0"/>
          <w:numId w:val="1"/>
        </w:numPr>
      </w:pPr>
      <w:hyperlink r:id="rId7">
        <w:r>
          <w:rPr>
            <w:rStyle w:val="Hyperlink"/>
          </w:rPr>
          <w:t xml:space="preserve">Doughnut Economics – Ramverk</w:t>
        </w:r>
      </w:hyperlink>
    </w:p>
    <w:p>
      <w:pPr>
        <w:pStyle w:val="ListParagraph"/>
        <w:numPr>
          <w:ilvl w:val="0"/>
          <w:numId w:val="1"/>
        </w:numPr>
      </w:pPr>
      <w:hyperlink r:id="rId8">
        <w:r>
          <w:rPr>
            <w:rStyle w:val="Hyperlink"/>
          </w:rPr>
          <w:t xml:space="preserve">FNs SDGs – Ramverk</w:t>
        </w:r>
      </w:hyperlink>
    </w:p>
    <w:p>
      <w:pPr>
        <w:pStyle w:val="ListParagraph"/>
        <w:numPr>
          <w:ilvl w:val="0"/>
          <w:numId w:val="1"/>
        </w:numPr>
      </w:pPr>
      <w:hyperlink r:id="rId9">
        <w:r>
          <w:rPr>
            <w:rStyle w:val="Hyperlink"/>
          </w:rPr>
          <w:t xml:space="preserve">Människan</w:t>
        </w:r>
      </w:hyperlink>
    </w:p>
    <w:p>
      <w:pPr>
        <w:pStyle w:val="Heading2"/>
      </w:pPr>
      <w:r>
        <w:rPr>
          <w:b/>
        </w:rPr>
        <w:t xml:space="preserve">Externa källor</w:t>
      </w:r>
    </w:p>
    <w:p>
      <w:pPr>
        <w:pStyle w:val="ListParagraph"/>
        <w:numPr>
          <w:ilvl w:val="0"/>
          <w:numId w:val="1"/>
        </w:numPr>
      </w:pPr>
      <w:hyperlink r:id="rId10">
        <w:r>
          <w:rPr>
            <w:rStyle w:val="Hyperlink"/>
          </w:rPr>
          <w:t xml:space="preserve">Max-Neef, Human Scale Development (1991), sammanfattning av behovsmodellen</w:t>
        </w:r>
      </w:hyperlink>
    </w:p>
    <w:p>
      <w:pPr>
        <w:pStyle w:val="ListParagraph"/>
        <w:numPr>
          <w:ilvl w:val="0"/>
          <w:numId w:val="1"/>
        </w:numPr>
      </w:pPr>
      <w:hyperlink r:id="rId11">
        <w:r>
          <w:rPr>
            <w:rStyle w:val="Hyperlink"/>
          </w:rPr>
          <w:t xml:space="preserve">Killingsworth, Kahneman och Mellers, Income and emotional well-being: A conflict resolved (PNAS, 2023)</w:t>
        </w:r>
      </w:hyperlink>
    </w:p>
    <w:p>
      <w:pPr>
        <w:pStyle w:val="ListParagraph"/>
        <w:numPr>
          <w:ilvl w:val="0"/>
          <w:numId w:val="1"/>
        </w:numPr>
      </w:pPr>
      <w:hyperlink r:id="rId12">
        <w:r>
          <w:rPr>
            <w:rStyle w:val="Hyperlink"/>
          </w:rPr>
          <w:t xml:space="preserve">Millward-Hopkins m.fl., Providing decent living with minimum energy (Global Environmental Change, 2020)</w:t>
        </w:r>
      </w:hyperlink>
    </w:p>
    <w:p>
      <w:pPr>
        <w:pStyle w:val="ListParagraph"/>
        <w:numPr>
          <w:ilvl w:val="0"/>
          <w:numId w:val="1"/>
        </w:numPr>
      </w:pPr>
      <w:hyperlink r:id="rId13">
        <w:r>
          <w:rPr>
            <w:rStyle w:val="Hyperlink"/>
          </w:rPr>
          <w:t xml:space="preserve">O'Neill m.fl., A good life for all within planetary boundaries (Nature Sustainability, 2018)</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BS8z02aOJBepsfjI2ItYfIJcHfgGZq89/edit" TargetMode="External"/><Relationship Id="rId4" Type="http://schemas.openxmlformats.org/officeDocument/2006/relationships/hyperlink" Target="https://sites.google.com/d/14QVbFQiJRCtYD7ZtGj_vXc7KmXcKbV-A/p/1ypMy1rGUb4x3mUzzTUb4as8fIIjmku_A/edit" TargetMode="External"/><Relationship Id="rId5" Type="http://schemas.openxmlformats.org/officeDocument/2006/relationships/hyperlink" Target="https://sites.google.com/d/14QVbFQiJRCtYD7ZtGj_vXc7KmXcKbV-A/p/1JZp16jBEzLS1jTucQfK_k_KDucFI1ww9/edit" TargetMode="External"/><Relationship Id="rId6" Type="http://schemas.openxmlformats.org/officeDocument/2006/relationships/hyperlink" Target="https://sites.google.com/d/14QVbFQiJRCtYD7ZtGj_vXc7KmXcKbV-A/p/1Uj0evxW7g-LzhsuofaQd30cac5-6wuPW/edit" TargetMode="External"/><Relationship Id="rId7" Type="http://schemas.openxmlformats.org/officeDocument/2006/relationships/hyperlink" Target="https://sites.google.com/d/14QVbFQiJRCtYD7ZtGj_vXc7KmXcKbV-A/p/1_Vr-ZRvJC8EkKoAG4bcila6anYiHdNXj/edit" TargetMode="External"/><Relationship Id="rId8" Type="http://schemas.openxmlformats.org/officeDocument/2006/relationships/hyperlink" Target="https://sites.google.com/d/14QVbFQiJRCtYD7ZtGj_vXc7KmXcKbV-A/p/1GPFPWxQqrSzG8aD83GZoi2Jp6WegBhtz/edit" TargetMode="External"/><Relationship Id="rId9" Type="http://schemas.openxmlformats.org/officeDocument/2006/relationships/hyperlink" Target="https://sites.google.com/d/14QVbFQiJRCtYD7ZtGj_vXc7KmXcKbV-A/p/1tsZHe91Aiz79JnCUVipaRwY8UG6Ulfng/edit" TargetMode="External"/><Relationship Id="rId10" Type="http://schemas.openxmlformats.org/officeDocument/2006/relationships/hyperlink" Target="https://en.wikipedia.org/wiki/Manfred_Max-Neef%27s_Fundamental_human_needs" TargetMode="External"/><Relationship Id="rId11" Type="http://schemas.openxmlformats.org/officeDocument/2006/relationships/hyperlink" Target="https://doi.org/10.1073/pnas.2208661120" TargetMode="External"/><Relationship Id="rId12" Type="http://schemas.openxmlformats.org/officeDocument/2006/relationships/hyperlink" Target="https://doi.org/10.1016/j.gloenvcha.2020.102168" TargetMode="External"/><Relationship Id="rId13" Type="http://schemas.openxmlformats.org/officeDocument/2006/relationships/hyperlink" Target="https://eprints.whiterose.ac.uk/127264" TargetMode="External"/></Relationships>
</file>