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Har inte alla samma möjligheter i Sverige?</w:t>
      </w:r>
    </w:p>
    <w:p>
      <w:r>
        <w:t xml:space="preserve">Formellt ja, i praktiken nej. Alla har samma rätt att gå i skolan, söka arbete och rösta. Men vad man kan göra med sina rättigheter beror på var man växer upp, vilka resurser familjen har, hur man mår och hur man blir bemött.</w:t>
      </w:r>
    </w:p>
    <w:p>
      <w:r>
        <w:t xml:space="preserve">Den som saknar en trygg bostad, har nedsatt hälsa eller tar hand om en sjuk anhörig har svårare att utbilda sig eller byta jobb, även om rätten finns på papperet. Lika rättigheter är nödvändiga, men de räcker inte för lika möjligheter.</w:t>
      </w:r>
    </w:p>
    <w:p>
      <w:pPr>
        <w:pStyle w:val="Heading2"/>
      </w:pPr>
      <w:r>
        <w:rPr>
          <w:b/>
        </w:rPr>
        <w:t xml:space="preserve">Hur stor betydelse har det var man växer upp?</w:t>
      </w:r>
    </w:p>
    <w:p>
      <w:r>
        <w:t xml:space="preserve">Stor, men olika stor i olika länder. Forskare talar om</w:t>
      </w:r>
      <w:r>
        <w:t xml:space="preserve"> </w:t>
      </w:r>
      <w:r>
        <w:rPr>
          <w:b/>
        </w:rPr>
        <w:t xml:space="preserve">social rörlighet</w:t>
      </w:r>
      <w:r>
        <w:t xml:space="preserve">, alltså hur lätt barn kan få ett annat liv än sina föräldrar. OECD har räknat ut hur många generationer det tar innan ättlingarna till en familj bland de tio procent som tjänar minst når en genomsnittlig inkomst. I genomsnitt för OECD-länderna tar det fyra till fem generationer. I Danmark tar det två.</w:t>
      </w:r>
    </w:p>
    <w:p>
      <w:r>
        <w:t xml:space="preserve">Skillnaden visar att social rörlighet inte är en naturlag. Den påverkas av skola, välfärd, bostadspolitik, skatter och arbetsmarknad. Samhällen kan göra det lättare eller svårare för barn att få andra möjligheter än sina föräldrar.</w:t>
      </w:r>
    </w:p>
    <w:p>
      <w:pPr>
        <w:pStyle w:val="Heading2"/>
      </w:pPr>
      <w:r>
        <w:rPr>
          <w:b/>
        </w:rPr>
        <w:t xml:space="preserve">Varför förstärker skillnader sig själva?</w:t>
      </w:r>
    </w:p>
    <w:p>
      <w:r>
        <w:t xml:space="preserve">Därför att livsvillkoren hänger ihop. Barns uppväxt påverkar hälsa och skolgång, som påverkar arbete och inkomst, som påverkar var man kan bo och vilken skola de egna barnen går i.</w:t>
      </w:r>
    </w:p>
    <w:p>
      <w:r>
        <w:t xml:space="preserve">Brist på resurser gör det också svårare att påverka beslut. Då riskerar de som redan har minst att få ännu mindre inflytande. Därför kan problemen sällan lösas ett i taget. Den som bara tittar på skolan, eller bara på bostaden, missar hur de förstärker varandra.</w:t>
      </w:r>
    </w:p>
    <w:p>
      <w:pPr>
        <w:pStyle w:val="Heading2"/>
      </w:pPr>
      <w:r>
        <w:rPr>
          <w:b/>
        </w:rPr>
        <w:t xml:space="preserve">Är inte ojämlikhet priset för välstånd?</w:t>
      </w:r>
    </w:p>
    <w:p>
      <w:r>
        <w:t xml:space="preserve">Delvis, men sambandet är svagare än det ofta låter. Tillväxtanhängarens argument är att skillnader skapar drivkrafter: den som kan tjäna mer anstränger sig mer, och kakan blir större för alla. Det finns något i det. Ett samhälle där alla får exakt samma oavsett insats skulle sannolikt fungera dåligt.</w:t>
      </w:r>
    </w:p>
    <w:p>
      <w:r>
        <w:t xml:space="preserve">Men de nordiska länderna har länge kombinerat jämförelsevis små skillnader med högt välstånd och hög social rörlighet. Det tyder på att stora skillnader inte är en förutsättning för välstånd. Stora skillnader i förmögenhet riskerar dessutom att bli skillnader i makt, vilket beskrivs närmare i Makt och fördelning i Ekonomiska systemet.</w:t>
      </w:r>
    </w:p>
    <w:p>
      <w:pPr>
        <w:pStyle w:val="Heading2"/>
      </w:pPr>
      <w:r>
        <w:rPr>
          <w:b/>
        </w:rPr>
        <w:t xml:space="preserve">Är rättvisa att alla behandlas lika?</w:t>
      </w:r>
    </w:p>
    <w:p>
      <w:r>
        <w:t xml:space="preserve">Inte alltid. Ibland kräver rättvisa att samma regler gäller för alla. I andra fall behöver människor olika stöd för att få samma verkliga möjlighet. Ett barn med dyslexi, en person med långvarig sjukdom och en nyanländ som ska lära sig språket behöver inte samma sak, även om alla har samma värde.</w:t>
      </w:r>
    </w:p>
    <w:p>
      <w:r>
        <w:t xml:space="preserve">Eftersom resurserna är begränsade måste samhället också kunna förklara hur stödet fördelas och varför. Öppenhet om prioriteringarna är en del av rättvisan.</w:t>
      </w:r>
    </w:p>
    <w:p>
      <w:pPr>
        <w:pStyle w:val="Heading2"/>
      </w:pPr>
      <w:r>
        <w:rPr>
          <w:b/>
        </w:rPr>
        <w:t xml:space="preserve">Kan hållbarhet och goda livsvillkor gå ihop?</w:t>
      </w:r>
    </w:p>
    <w:p>
      <w:r>
        <w:t xml:space="preserve">Ja, men bara om omställningen görs rättvist. Om klimatåtgärder slår hårdast mot dem som redan har minst, till exempel genom höjda bränslepriser för den som är beroende av bilen på landsbygden, riskerar de att förlora stödet. Protesterna med de gula västarna i Frankrike 2018 började som en protest mot en höjd bränsleskatt.</w:t>
      </w:r>
    </w:p>
    <w:p>
      <w:r>
        <w:t xml:space="preserve">Samtidigt kan ekologiska gränser aldrig vara ett skäl att acceptera fattigdom eller utestängning. Den sociala grunden och det ekologiska taket hör ihop, och en hållbar politik behöver hålla båda.</w:t>
      </w:r>
    </w:p>
    <w:p>
      <w:pPr>
        <w:pStyle w:val="Heading2"/>
      </w:pPr>
      <w:r>
        <w:rPr>
          <w:b/>
        </w:rPr>
        <w:t xml:space="preserve">Så vad är egentligen svaret?</w:t>
      </w:r>
    </w:p>
    <w:p>
      <w:r>
        <w:t xml:space="preserve">Människors möjligheter formas inte bara av egna val utan också av de villkor de växer upp och lever i. Lika rättigheter är grunden, men verkliga möjligheter kräver också bostad, hälsa, utbildning och stöd när det behövs.</w:t>
      </w:r>
    </w:p>
    <w:p>
      <w:r>
        <w:t xml:space="preserve">Att Danmark klarar på två generationer det som i genomsnitt tar fyra till fem visar att det går att påverka. Det är också en hållbarhetsfråga: en omställning som ökar orättvisorna kommer inte att få stöd.</w:t>
      </w:r>
    </w:p>
    <w:p>
      <w:r>
        <w:rPr>
          <w:b/>
        </w:rPr>
        <w:t xml:space="preserve">Frågan är inte om alla har samma rättigheter, utan om alla har en verklig möjlighet att använda dem.</w:t>
      </w:r>
    </w:p>
    <w:p>
      <w:pPr>
        <w:pStyle w:val="Heading2"/>
      </w:pPr>
      <w:r>
        <w:rPr>
          <w:b/>
        </w:rPr>
        <w:t xml:space="preserve">Kopplingar till andra delar av samhället</w:t>
      </w:r>
    </w:p>
    <w:p>
      <w:pPr>
        <w:pStyle w:val="ListParagraph"/>
        <w:numPr>
          <w:ilvl w:val="0"/>
          <w:numId w:val="1"/>
        </w:numPr>
      </w:pPr>
      <w:hyperlink r:id="rId3">
        <w:r>
          <w:rPr>
            <w:rStyle w:val="Hyperlink"/>
          </w:rPr>
          <w:t xml:space="preserve">Makt och fördelning – Ekonomiska systemet</w:t>
        </w:r>
      </w:hyperlink>
    </w:p>
    <w:p>
      <w:pPr>
        <w:pStyle w:val="ListParagraph"/>
        <w:numPr>
          <w:ilvl w:val="0"/>
          <w:numId w:val="1"/>
        </w:numPr>
      </w:pPr>
      <w:hyperlink r:id="rId4">
        <w:r>
          <w:rPr>
            <w:rStyle w:val="Hyperlink"/>
          </w:rPr>
          <w:t xml:space="preserve">Arbete och försörjning – Ekonomiska systemet</w:t>
        </w:r>
      </w:hyperlink>
    </w:p>
    <w:p>
      <w:pPr>
        <w:pStyle w:val="ListParagraph"/>
        <w:numPr>
          <w:ilvl w:val="0"/>
          <w:numId w:val="1"/>
        </w:numPr>
      </w:pPr>
      <w:hyperlink r:id="rId5">
        <w:r>
          <w:rPr>
            <w:rStyle w:val="Hyperlink"/>
          </w:rPr>
          <w:t xml:space="preserve">Rättigheter och ansvar – Demokratiska systemet</w:t>
        </w:r>
      </w:hyperlink>
    </w:p>
    <w:p>
      <w:pPr>
        <w:pStyle w:val="ListParagraph"/>
        <w:numPr>
          <w:ilvl w:val="0"/>
          <w:numId w:val="1"/>
        </w:numPr>
      </w:pPr>
      <w:hyperlink r:id="rId6">
        <w:r>
          <w:rPr>
            <w:rStyle w:val="Hyperlink"/>
          </w:rPr>
          <w:t xml:space="preserve">Deltagande och inflytande – Demokratiska systemet</w:t>
        </w:r>
      </w:hyperlink>
    </w:p>
    <w:p>
      <w:pPr>
        <w:pStyle w:val="ListParagraph"/>
        <w:numPr>
          <w:ilvl w:val="0"/>
          <w:numId w:val="1"/>
        </w:numPr>
      </w:pPr>
      <w:hyperlink r:id="rId7">
        <w:r>
          <w:rPr>
            <w:rStyle w:val="Hyperlink"/>
          </w:rPr>
          <w:t xml:space="preserve">FNs SDGs – Ramverk</w:t>
        </w:r>
      </w:hyperlink>
    </w:p>
    <w:p>
      <w:pPr>
        <w:pStyle w:val="ListParagraph"/>
        <w:numPr>
          <w:ilvl w:val="0"/>
          <w:numId w:val="1"/>
        </w:numPr>
      </w:pPr>
      <w:hyperlink r:id="rId8">
        <w:r>
          <w:rPr>
            <w:rStyle w:val="Hyperlink"/>
          </w:rPr>
          <w:t xml:space="preserve">Doughnut Economics – Ramverk</w:t>
        </w:r>
      </w:hyperlink>
    </w:p>
    <w:p>
      <w:pPr>
        <w:pStyle w:val="Heading2"/>
      </w:pPr>
      <w:r>
        <w:rPr>
          <w:b/>
        </w:rPr>
        <w:t xml:space="preserve">Externa källor</w:t>
      </w:r>
    </w:p>
    <w:p>
      <w:pPr>
        <w:pStyle w:val="ListParagraph"/>
        <w:numPr>
          <w:ilvl w:val="0"/>
          <w:numId w:val="1"/>
        </w:numPr>
      </w:pPr>
      <w:hyperlink r:id="rId9">
        <w:r>
          <w:rPr>
            <w:rStyle w:val="Hyperlink"/>
          </w:rPr>
          <w:t xml:space="preserve">OECD, A Broken Social Elevator? How to Promote Social Mobility (2018)</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tVn_Bwd9C9c9s5yOgRx1Ltkw2KwTgWLP/edit" TargetMode="External"/><Relationship Id="rId4" Type="http://schemas.openxmlformats.org/officeDocument/2006/relationships/hyperlink" Target="https://sites.google.com/d/14QVbFQiJRCtYD7ZtGj_vXc7KmXcKbV-A/p/1JZp16jBEzLS1jTucQfK_k_KDucFI1ww9/edit" TargetMode="External"/><Relationship Id="rId5" Type="http://schemas.openxmlformats.org/officeDocument/2006/relationships/hyperlink" Target="https://sites.google.com/d/14QVbFQiJRCtYD7ZtGj_vXc7KmXcKbV-A/p/1YiuYh4OIv48vo_mlDv8SJ_Gf82T77g_L/edit" TargetMode="External"/><Relationship Id="rId6" Type="http://schemas.openxmlformats.org/officeDocument/2006/relationships/hyperlink" Target="https://sites.google.com/d/14QVbFQiJRCtYD7ZtGj_vXc7KmXcKbV-A/p/1QMatgaN6mqxLpIS-5AKniozBVOOstQnR/edit" TargetMode="External"/><Relationship Id="rId7" Type="http://schemas.openxmlformats.org/officeDocument/2006/relationships/hyperlink" Target="https://sites.google.com/d/14QVbFQiJRCtYD7ZtGj_vXc7KmXcKbV-A/p/1GPFPWxQqrSzG8aD83GZoi2Jp6WegBhtz/edit" TargetMode="External"/><Relationship Id="rId8" Type="http://schemas.openxmlformats.org/officeDocument/2006/relationships/hyperlink" Target="https://sites.google.com/d/14QVbFQiJRCtYD7ZtGj_vXc7KmXcKbV-A/p/1_Vr-ZRvJC8EkKoAG4bcila6anYiHdNXj/edit" TargetMode="External"/><Relationship Id="rId9" Type="http://schemas.openxmlformats.org/officeDocument/2006/relationships/hyperlink" Target="https://www.oecd.org/en/publications/broken-elevator-how-to-promote-social-mobility_9789264301085-en.html" TargetMode="External"/></Relationships>
</file>