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2"/>
      </w:pPr>
      <w:r>
        <w:rPr>
          <w:b/>
        </w:rPr>
        <w:t xml:space="preserve">Varför är tillit så viktig?</w:t>
      </w:r>
    </w:p>
    <w:p>
      <w:r>
        <w:t xml:space="preserve">Därför att nästan allt samarbete bygger på den. När vi kan lita på att andra håller överenskommelser, att regler gäller lika för alla och att myndigheter gör sitt jobb blir vardagen enklare och billigare. Vi behöver inte kontrollera allt själva.</w:t>
      </w:r>
    </w:p>
    <w:p>
      <w:r>
        <w:t xml:space="preserve">Sverige hör till de länder där tilliten är högst. I den internationella värderingsundersökningen World Values Survey svarade omkring 63 procent av svenskarna 2022 att de flesta människor går att lita på. I USA var andelen 37 procent och i Brasilien 7 procent. Den höga tilliten är en tillgång som är lätt att ta för given, och den är lättare att förlora än att bygga upp.</w:t>
      </w:r>
    </w:p>
    <w:p>
      <w:pPr>
        <w:pStyle w:val="Heading2"/>
      </w:pPr>
      <w:r>
        <w:rPr>
          <w:b/>
        </w:rPr>
        <w:t xml:space="preserve">Vad bygger tillit, och vad river den?</w:t>
      </w:r>
    </w:p>
    <w:p>
      <w:r>
        <w:t xml:space="preserve">Tillit byggs genom erfarenheter. Den växer när människor blir rättvist behandlade, när regler tillämpas lika och när det går att få rätt när något blir fel. Den skadas av korruption, godtycke och känslan av att vissa kommer undan med sådant som andra straffas för.</w:t>
      </w:r>
    </w:p>
    <w:p>
      <w:r>
        <w:t xml:space="preserve">Tillit betyder inte att vara godtrogen. Ett samhälle med hög tillit behöver insyn, granskning och möjlighet att klaga. Det kan låta motsägelsefullt, men just möjligheten att ifrågasätta gör att man vågar lita på systemet.</w:t>
      </w:r>
    </w:p>
    <w:p>
      <w:pPr>
        <w:pStyle w:val="Heading2"/>
      </w:pPr>
      <w:r>
        <w:rPr>
          <w:b/>
        </w:rPr>
        <w:t xml:space="preserve">Vad får människor att känna att de hör till?</w:t>
      </w:r>
    </w:p>
    <w:p>
      <w:r>
        <w:t xml:space="preserve">Att bli sedda, behövda och tagna på allvar. Tillhörighet växer i familj och vänskap, men också i skola, arbetsplats, förening och grannskap. Att få bidra stärker känslan av att vara en del av något större.</w:t>
      </w:r>
    </w:p>
    <w:p>
      <w:r>
        <w:t xml:space="preserve">Tillhörighet kräver inte att alla har samma bakgrund eller åsikter. Men den kräver att man inte hela tiden måste bevisa att man förtjänar att vara med.</w:t>
      </w:r>
    </w:p>
    <w:p>
      <w:pPr>
        <w:pStyle w:val="Heading2"/>
      </w:pPr>
      <w:r>
        <w:rPr>
          <w:b/>
        </w:rPr>
        <w:t xml:space="preserve">Måste vi vara överens för att höra ihop?</w:t>
      </w:r>
    </w:p>
    <w:p>
      <w:r>
        <w:t xml:space="preserve">Nej. Ett samhälle kan rymma olika livsåskådningar, kulturer och uppfattningar om ett gott liv. Gemenskapen behöver inte bygga på att alla tycker lika, utan på att vi erkänner varandras lika värde och följer gemensamma spelregler.</w:t>
      </w:r>
    </w:p>
    <w:p>
      <w:r>
        <w:t xml:space="preserve">Det blir svårare när oenighet blir misstänksamhet och andra grupper börjar ses som ett hot. Då delas människor in i "vi" och "dom", och den gemenskap som skulle bära oss blir något som stänger ute.</w:t>
      </w:r>
    </w:p>
    <w:p>
      <w:pPr>
        <w:pStyle w:val="Heading2"/>
      </w:pPr>
      <w:r>
        <w:rPr>
          <w:b/>
        </w:rPr>
        <w:t xml:space="preserve">Var går gränsen mellan frihet och gemensamma regler?</w:t>
      </w:r>
    </w:p>
    <w:p>
      <w:r>
        <w:t xml:space="preserve">Där våra val skadar andra. Vi vill kunna välja hur vi lever, vad vi tror på och vilka sammanhang vi söker oss till. Men frihet för en grupp får inte innebära att andra tvingas underordna sig. Tradition, kultur eller övertygelse kan aldrig motivera våld, tvång eller att någon förvägras sina grundläggande rättigheter.</w:t>
      </w:r>
    </w:p>
    <w:p>
      <w:r>
        <w:t xml:space="preserve">Samtidigt kan regler begränsa mer än nödvändigt. Ett samhälle som försöker styra människors liv i detalj tränger undan olikheter och eget ansvar. Gemensamma regler behöver därför kunna motiveras, granskas och ändras när de får orimliga följder.</w:t>
      </w:r>
    </w:p>
    <w:p>
      <w:pPr>
        <w:pStyle w:val="Heading2"/>
      </w:pPr>
      <w:r>
        <w:rPr>
          <w:b/>
        </w:rPr>
        <w:t xml:space="preserve">Gör inte stora olikheter det svårare att lita på varandra?</w:t>
      </w:r>
    </w:p>
    <w:p>
      <w:r>
        <w:t xml:space="preserve">Delvis, och det ska inte förnekas. En sammanställning av ett stort antal studier från 2020 fann ett negativt samband mellan etnisk mångfald och tillit. Sambandet var starkast när det gällde tilliten till grannarna och när mångfalden mättes i närområdet.</w:t>
      </w:r>
    </w:p>
    <w:p>
      <w:r>
        <w:t xml:space="preserve">Men tillit påverkas också starkt av hur samhället fungerar. Rättvisa institutioner, låg korruption, små ekonomiska skillnader och mötesplatser där människor faktiskt gör saker tillsammans bygger tillit även mellan människor som är olika. Det är därför frågan om tillit hänger så nära ihop med frågan om livsvillkor.</w:t>
      </w:r>
    </w:p>
    <w:p>
      <w:pPr>
        <w:pStyle w:val="Heading2"/>
      </w:pPr>
      <w:r>
        <w:rPr>
          <w:b/>
        </w:rPr>
        <w:t xml:space="preserve">Så vad är egentligen svaret?</w:t>
      </w:r>
    </w:p>
    <w:p>
      <w:r>
        <w:t xml:space="preserve">Tillit och gemenskap är det sociala kitt som får allt annat att fungera. De växer när människor behandlas rättvist, får delta och kan lita på att regler gäller lika för alla. De kräver inte att alla är lika eller överens.</w:t>
      </w:r>
    </w:p>
    <w:p>
      <w:r>
        <w:t xml:space="preserve">Sveriges höga tillit är en av landets största tillgångar inför omställningen. Svåra beslut blir lättare att fatta och genomföra när människor litar på varandra och på institutionerna.</w:t>
      </w:r>
    </w:p>
    <w:p>
      <w:r>
        <w:rPr>
          <w:b/>
        </w:rPr>
        <w:t xml:space="preserve">Frågan är inte om vi är tillräckligt lika för att lita på varandra, utan om samhället är tillräckligt rättvist för att vi ska kunna göra det.</w:t>
      </w:r>
    </w:p>
    <w:p>
      <w:pPr>
        <w:pStyle w:val="Heading2"/>
      </w:pPr>
      <w:r>
        <w:rPr>
          <w:b/>
        </w:rPr>
        <w:t xml:space="preserve">Kopplingar till andra delar av samhället</w:t>
      </w:r>
    </w:p>
    <w:p>
      <w:pPr>
        <w:pStyle w:val="ListParagraph"/>
        <w:numPr>
          <w:ilvl w:val="0"/>
          <w:numId w:val="1"/>
        </w:numPr>
      </w:pPr>
      <w:hyperlink r:id="rId3">
        <w:r>
          <w:rPr>
            <w:rStyle w:val="Hyperlink"/>
          </w:rPr>
          <w:t xml:space="preserve">Makt och fördelning – Ekonomiska systemet</w:t>
        </w:r>
      </w:hyperlink>
    </w:p>
    <w:p>
      <w:pPr>
        <w:pStyle w:val="ListParagraph"/>
        <w:numPr>
          <w:ilvl w:val="0"/>
          <w:numId w:val="1"/>
        </w:numPr>
      </w:pPr>
      <w:hyperlink r:id="rId4">
        <w:r>
          <w:rPr>
            <w:rStyle w:val="Hyperlink"/>
          </w:rPr>
          <w:t xml:space="preserve">Demokratin o det hållbara samhället – Demokratiska systemet</w:t>
        </w:r>
      </w:hyperlink>
    </w:p>
    <w:p>
      <w:pPr>
        <w:pStyle w:val="ListParagraph"/>
        <w:numPr>
          <w:ilvl w:val="0"/>
          <w:numId w:val="1"/>
        </w:numPr>
      </w:pPr>
      <w:hyperlink r:id="rId5">
        <w:r>
          <w:rPr>
            <w:rStyle w:val="Hyperlink"/>
          </w:rPr>
          <w:t xml:space="preserve">Rättigheter och ansvar – Demokratiska systemet</w:t>
        </w:r>
      </w:hyperlink>
    </w:p>
    <w:p>
      <w:pPr>
        <w:pStyle w:val="ListParagraph"/>
        <w:numPr>
          <w:ilvl w:val="0"/>
          <w:numId w:val="1"/>
        </w:numPr>
      </w:pPr>
      <w:hyperlink r:id="rId6">
        <w:r>
          <w:rPr>
            <w:rStyle w:val="Hyperlink"/>
          </w:rPr>
          <w:t xml:space="preserve">Människan</w:t>
        </w:r>
      </w:hyperlink>
    </w:p>
    <w:p>
      <w:pPr>
        <w:pStyle w:val="Heading2"/>
      </w:pPr>
      <w:r>
        <w:rPr>
          <w:b/>
        </w:rPr>
        <w:t xml:space="preserve">Externa källor</w:t>
      </w:r>
    </w:p>
    <w:p>
      <w:pPr>
        <w:pStyle w:val="ListParagraph"/>
        <w:numPr>
          <w:ilvl w:val="0"/>
          <w:numId w:val="1"/>
        </w:numPr>
      </w:pPr>
      <w:hyperlink r:id="rId7">
        <w:r>
          <w:rPr>
            <w:rStyle w:val="Hyperlink"/>
          </w:rPr>
          <w:t xml:space="preserve">Our World in Data / Integrated Values Surveys, Trust in others (2022)</w:t>
        </w:r>
      </w:hyperlink>
    </w:p>
    <w:p>
      <w:pPr>
        <w:pStyle w:val="ListParagraph"/>
        <w:numPr>
          <w:ilvl w:val="0"/>
          <w:numId w:val="1"/>
        </w:numPr>
      </w:pPr>
      <w:hyperlink r:id="rId8">
        <w:r>
          <w:rPr>
            <w:rStyle w:val="Hyperlink"/>
          </w:rPr>
          <w:t xml:space="preserve">Dinesen, Schaeffer och Sønderskov, Ethnic Diversity and Social Trust (Annual Review of Political Science, 2020)</w:t>
        </w:r>
      </w:hyperlink>
    </w:p>
    <w:sectPr/>
  </w:body>
</w:document>
</file>

<file path=word/numbering.xml><?xml version="1.0" encoding="utf-8"?>
<w:numbering xmlns:w="http://schemas.openxmlformats.org/wordprocessingml/2006/main">
  <w:abstractNum w:abstractNumId="0">
    <w:lvl w:ilvl="0">
      <w:start w:val="1"/>
      <w:numFmt w:val="bullet"/>
      <w:lvlText w:val="•"/>
      <w:pPr>
        <w:ind w:left="720" w:hanging="360"/>
      </w:pPr>
      <w:rPr>
        <w:rFonts w:ascii="Arial" w:hAnsi="Arial" w:hint="default"/>
        <w:sz w:val="24"/>
      </w:rPr>
    </w:lvl>
  </w:abstractNum>
  <w:num w:numId="1">
    <w:abstractNumId w:val="0"/>
  </w:num>
</w:numbering>
</file>

<file path=word/styles.xml><?xml version="1.0" encoding="utf-8"?>
<w:styles xmlns:w="http://schemas.openxmlformats.org/wordprocessingml/2006/main">
  <w:style w:type="paragraph" w:default="1" w:styleId="Normal">
    <w:name w:val="Normal"/>
    <w:pPr>
      <w:spacing w:before="0" w:after="200" w:line="360" w:lineRule="auto"/>
    </w:pPr>
    <w:rPr>
      <w:sz w:val="24"/>
      <w:szCs w:val="24"/>
    </w:rPr>
  </w:style>
  <w:style w:type="paragraph" w:styleId="Heading1">
    <w:name w:val="heading 1"/>
    <w:basedOn w:val="Normal"/>
    <w:pPr>
      <w:keepNext/>
      <w:spacing w:before="320" w:after="120" w:line="360" w:lineRule="auto"/>
      <w:outlineLvl w:val="0"/>
    </w:pPr>
    <w:rPr>
      <w:b/>
      <w:sz w:val="36"/>
    </w:rPr>
  </w:style>
  <w:style w:type="paragraph" w:styleId="Heading2">
    <w:name w:val="heading 2"/>
    <w:basedOn w:val="Normal"/>
    <w:pPr>
      <w:keepNext/>
      <w:spacing w:before="280" w:after="120" w:line="360" w:lineRule="auto"/>
      <w:outlineLvl w:val="1"/>
    </w:pPr>
    <w:rPr>
      <w:b/>
      <w:sz w:val="32"/>
    </w:rPr>
  </w:style>
  <w:style w:type="paragraph" w:styleId="ListParagraph">
    <w:name w:val="List Paragraph"/>
    <w:basedOn w:val="Normal"/>
    <w:pPr>
      <w:spacing w:before="0" w:after="120" w:line="360" w:lineRule="auto"/>
    </w:pPr>
  </w:style>
  <w:style w:type="character" w:styleId="Hyperlink">
    <w:name w:val="Hyperlink"/>
    <w:rPr>
      <w:color w:val="0563C1"/>
      <w:u w:val="single"/>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sites.google.com/d/14QVbFQiJRCtYD7ZtGj_vXc7KmXcKbV-A/p/1tVn_Bwd9C9c9s5yOgRx1Ltkw2KwTgWLP/edit" TargetMode="External"/><Relationship Id="rId4" Type="http://schemas.openxmlformats.org/officeDocument/2006/relationships/hyperlink" Target="https://sites.google.com/d/14QVbFQiJRCtYD7ZtGj_vXc7KmXcKbV-A/p/1omlPkrrnZ0Bn_WUNuFzX6JqvXaaYLOYb/edit" TargetMode="External"/><Relationship Id="rId5" Type="http://schemas.openxmlformats.org/officeDocument/2006/relationships/hyperlink" Target="https://sites.google.com/d/14QVbFQiJRCtYD7ZtGj_vXc7KmXcKbV-A/p/1YiuYh4OIv48vo_mlDv8SJ_Gf82T77g_L/edit" TargetMode="External"/><Relationship Id="rId6" Type="http://schemas.openxmlformats.org/officeDocument/2006/relationships/hyperlink" Target="https://sites.google.com/d/14QVbFQiJRCtYD7ZtGj_vXc7KmXcKbV-A/p/1tsZHe91Aiz79JnCUVipaRwY8UG6Ulfng/edit" TargetMode="External"/><Relationship Id="rId7" Type="http://schemas.openxmlformats.org/officeDocument/2006/relationships/hyperlink" Target="https://ourworldindata.org/grapher/self-reported-trust-attitudes" TargetMode="External"/><Relationship Id="rId8" Type="http://schemas.openxmlformats.org/officeDocument/2006/relationships/hyperlink" Target="https://www.annualreviews.org/doi/abs/10.1146/annurev-polisci-052918-020708" TargetMode="External"/></Relationships>
</file>