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2"/>
      </w:pPr>
      <w:r>
        <w:rPr>
          <w:b/>
        </w:rPr>
        <w:t xml:space="preserve">Ett hållbart samhälle</w:t>
      </w:r>
    </w:p>
    <w:p>
      <w:r>
        <w:t xml:space="preserve">Ett hållbart samhälle är ett samhälle där människor kan leva ett gott liv, samtidigt som samhällets utveckling ryms inom planetens ekologiska förutsättningar.</w:t>
      </w:r>
    </w:p>
    <w:p>
      <w:r>
        <w:t xml:space="preserve">För TSS är ett hållbart samhälle inte ett färdigt tillstånd eller en punkt som samhället en gång når. Det är en riktning för samhällsutvecklingen – en strävan efter ett samhälle där människors behov kan tillgodoses, där människor har möjlighet att påverka sina liv och sitt samhälle och där utvecklingen sker inom planetens ekologiska förutsättningar.</w:t>
      </w:r>
    </w:p>
    <w:p>
      <w:r>
        <w:t xml:space="preserve">Visionen om ett hållbart samhälle ger en gemensam riktning. Den kan samla människor med olika erfarenheter, roller och uppfattningar kring något som i grunden är svårt att motsätta sig: att utveckla ett samhälle som är hållbart.</w:t>
      </w:r>
    </w:p>
    <w:p>
      <w:r>
        <w:rPr>
          <w:i/>
        </w:rPr>
        <w:t xml:space="preserve">Det är svårt att föreställa sig att någon skulle ha som mål att utveckla ett ohållbart samhälle.</w:t>
      </w:r>
    </w:p>
    <w:p>
      <w:pPr>
        <w:pStyle w:val="Heading2"/>
      </w:pPr>
      <w:r>
        <w:rPr>
          <w:b/>
        </w:rPr>
        <w:t xml:space="preserve">Visionen som grund för TSS</w:t>
      </w:r>
    </w:p>
    <w:p>
      <w:r>
        <w:t xml:space="preserve">Visionen är TSS:s kärna och röda tråd. Den ger en gemensam utgångspunkt för att förstå dagens samhälle, identifiera systembrister och undersöka vilka förändringar som kan föra utvecklingen i en mer hållbar riktning.</w:t>
      </w:r>
    </w:p>
    <w:p>
      <w:r>
        <w:t xml:space="preserve">Visionen handlar inte bara om vilket samhälle vi vill ha, utan också om hur vi utvecklar det. Samhällets organisation,</w:t>
      </w:r>
      <w:r>
        <w:t xml:space="preserve"> </w:t>
      </w:r>
      <w:r>
        <w:t xml:space="preserve">ekonomi</w:t>
      </w:r>
      <w:r>
        <w:t xml:space="preserve"> </w:t>
      </w:r>
      <w:r>
        <w:t xml:space="preserve">och politiska beslut behöver bidra till att människors behov tillgodoses och att utvecklingen ryms inom planetens ekologiska förutsättningar.</w:t>
      </w:r>
    </w:p>
    <w:p>
      <w:r>
        <w:t xml:space="preserve">Det innebär att vi inte kan utgå från att mer produktion och ekonomisk tillväxt alltid är önskvärd. Vi behöver i stället fråga vad samhället behöver åstadkomma och hur verksamheter och resurser kan organiseras för att bidra till ett hållbart samhälle.</w:t>
      </w:r>
    </w:p>
    <w:p>
      <w:r>
        <w:t xml:space="preserve">Ett hållbart samhälle behöver ge människor grundläggande trygghet och möjlighet att bidra till det gemensamma. Människors försörjning ska inte behöva vara beroende av att de arbetar i verksamheter som motverkar en hållbar samhällsutveckling. Hur samhället organiserar arbete, försörjning och gemensamt ansvar blir därför en del av omställningen.</w:t>
      </w:r>
    </w:p>
    <w:p>
      <w:r>
        <w:t xml:space="preserve">Det handlar inte om att på den här sidan bestämma exakt hur trygghetssystem eller arbetsliv ska utformas. Det handlar om en grundläggande riktning: samhället behöver organisera ekonomi, arbete och gemensamma resurser så att människors behov kan tillgodoses på ett hållbart sätt.</w:t>
      </w:r>
    </w:p>
    <w:p>
      <w:pPr>
        <w:pStyle w:val="Heading2"/>
      </w:pPr>
      <w:r>
        <w:rPr>
          <w:b/>
        </w:rPr>
        <w:t xml:space="preserve">Visionen har stöd i FN och i grundlagen</w:t>
      </w:r>
    </w:p>
    <w:p>
      <w:r>
        <w:t xml:space="preserve">Visionen är inte TSS egen uppfinning. Den har redan ställts upp av dem som har mandat att göra det, både internationellt och i Sverige.</w:t>
      </w:r>
    </w:p>
    <w:p>
      <w:r>
        <w:t xml:space="preserve">Internationellt uttrycks den i FN:s</w:t>
      </w:r>
      <w:r>
        <w:t xml:space="preserve"> </w:t>
      </w:r>
      <w:r>
        <w:t xml:space="preserve">Sustainable Development Goals, SDGs</w:t>
      </w:r>
      <w:r>
        <w:t xml:space="preserve">,</w:t>
      </w:r>
      <w:r>
        <w:t xml:space="preserve"> </w:t>
      </w:r>
      <w:r>
        <w:t xml:space="preserve">som är en del av Agenda 2030. Agenda 2030 antogs av FN:s samtliga medlemsländer 2015. SDGs ger en internationellt förankrad grund för att beskriva vad en utveckling mot ett hållbart samhälle behöver omfatta.</w:t>
      </w:r>
    </w:p>
    <w:p>
      <w:r>
        <w:t xml:space="preserve">I Sverige står den i grundlagen. Regeringsformen säger att den enskildes personliga, ekonomiska och kulturella välfärd ska vara grundläggande mål för den offentliga verksamheten. Den säger också att det allmänna ska främja en hållbar utveckling som leder till en god miljö för nuvarande och kommande generationer. Det är samma bild som i</w:t>
      </w:r>
      <w:r>
        <w:t xml:space="preserve"> </w:t>
      </w:r>
      <w:r>
        <w:t xml:space="preserve">Doughnut Economics</w:t>
      </w:r>
      <w:r>
        <w:t xml:space="preserve">: en social grund som ingen ska hamna under och ett ekologiskt tak som ingen generation får bryta igenom.</w:t>
      </w:r>
    </w:p>
    <w:p>
      <w:r>
        <w:t xml:space="preserve">Därför kan visionen vara gemensam för alla partier. Den säger vart samhället ska, men inte hur vi tar oss dit. Vägen dit är politikens uppgift, och den diskuteras på sidan</w:t>
      </w:r>
      <w:r>
        <w:t xml:space="preserve"> </w:t>
      </w:r>
      <w:hyperlink r:id="rId3">
        <w:r>
          <w:rPr>
            <w:rStyle w:val="Hyperlink"/>
          </w:rPr>
          <w:t xml:space="preserve">Val o partier</w:t>
        </w:r>
      </w:hyperlink>
      <w:r>
        <w:t xml:space="preserve"> </w:t>
      </w:r>
      <w:r>
        <w:t xml:space="preserve">i Demokratiska systemet.</w:t>
      </w:r>
      <w:r>
        <w:t xml:space="preserve"> </w:t>
      </w:r>
      <w:r>
        <w:t xml:space="preserve">Ramverket</w:t>
      </w:r>
      <w:r>
        <w:t xml:space="preserve"> </w:t>
      </w:r>
      <w:r>
        <w:t xml:space="preserve">beskriver vad hållbarheten kräver och var gränserna går.</w:t>
      </w:r>
    </w:p>
    <w:p>
      <w:pPr>
        <w:pStyle w:val="Heading2"/>
      </w:pPr>
      <w:r>
        <w:rPr>
          <w:b/>
        </w:rPr>
        <w:t xml:space="preserve">Från vision till förståelse</w:t>
      </w:r>
    </w:p>
    <w:p>
      <w:r>
        <w:t xml:space="preserve">Visionen säger vart vi strävar. För att komma dit behöver vi förstå hur samhället fungerar och hur dess delar hänger ihop. Den bilden byggs upp steg för steg på sidan </w:t>
      </w:r>
      <w:hyperlink r:id="rId17">
        <w:r>
          <w:rPr>
            <w:rStyle w:val="Hyperlink"/>
          </w:rPr>
          <w:t xml:space="preserve">Vårt samhälle</w:t>
        </w:r>
      </w:hyperlink>
      <w:r>
        <w:t xml:space="preserve">, från visionen till hela Samhällskartan.</w:t>
      </w:r>
    </w:p>
    <w:p>
      <w:r>
        <w:t xml:space="preserve">Det som </w:t>
      </w:r>
      <w:hyperlink r:id="rId5">
        <w:r>
          <w:rPr>
            <w:rStyle w:val="Hyperlink"/>
          </w:rPr>
          <w:t xml:space="preserve">Ramverket</w:t>
        </w:r>
      </w:hyperlink>
      <w:r>
        <w:t xml:space="preserve"> säger om gränserna behöver påverka hur vi planerar, prioriterar och fattar beslut från början. Det är inte bara ett sätt att i efterhand kontrollera om utvecklingen blev hållbar.</w:t>
      </w:r>
    </w:p>
    <w:p>
      <w:pPr>
        <w:pStyle w:val="Heading2"/>
      </w:pPr>
      <w:r>
        <w:rPr>
          <w:b/>
        </w:rPr>
        <w:t xml:space="preserve">Läs vidare</w:t>
      </w:r>
    </w:p>
    <w:p>
      <w:hyperlink r:id="rId10">
        <w:r>
          <w:rPr>
            <w:rStyle w:val="Hyperlink"/>
          </w:rPr>
          <w:t xml:space="preserve">FN, Sustainable Development Goals</w:t>
        </w:r>
      </w:hyperlink>
      <w:hyperlink r:id="rId11">
        <w:r>
          <w:rPr>
            <w:rStyle w:val="Hyperlink"/>
          </w:rPr>
          <w:t xml:space="preserve">
</w:t>
        </w:r>
      </w:hyperlink>
      <w:hyperlink r:id="rId12">
        <w:r>
          <w:rPr>
            <w:rStyle w:val="Hyperlink"/>
          </w:rPr>
          <w:t xml:space="preserve">FN, Agenda 2030 (2015)</w:t>
        </w:r>
      </w:hyperlink>
      <w:hyperlink r:id="rId13">
        <w:r>
          <w:rPr>
            <w:rStyle w:val="Hyperlink"/>
          </w:rPr>
          <w:t xml:space="preserve">
</w:t>
        </w:r>
      </w:hyperlink>
      <w:hyperlink r:id="rId14">
        <w:r>
          <w:rPr>
            <w:rStyle w:val="Hyperlink"/>
          </w:rPr>
          <w:t xml:space="preserve">Doughnut Economics</w:t>
        </w:r>
      </w:hyperlink>
      <w:hyperlink r:id="rId15">
        <w:r>
          <w:rPr>
            <w:rStyle w:val="Hyperlink"/>
          </w:rPr>
          <w:t xml:space="preserve">
</w:t>
        </w:r>
      </w:hyperlink>
      <w:hyperlink r:id="rId16">
        <w:r>
          <w:rPr>
            <w:rStyle w:val="Hyperlink"/>
          </w:rPr>
          <w:t xml:space="preserve">Regeringsformen, 1 kap. 2 § (lagen.nu)</w:t>
        </w:r>
      </w:hyperlink>
    </w:p>
    <w:sectPr/>
  </w:body>
</w:document>
</file>

<file path=word/numbering.xml><?xml version="1.0" encoding="utf-8"?>
<w:numbering xmlns:w="http://schemas.openxmlformats.org/wordprocessingml/2006/main">
  <w:abstractNum w:abstractNumId="0">
    <w:lvl w:ilvl="0">
      <w:start w:val="1"/>
      <w:numFmt w:val="bullet"/>
      <w:lvlText w:val="•"/>
      <w:pPr>
        <w:ind w:left="720" w:hanging="360"/>
      </w:pPr>
      <w:rPr>
        <w:rFonts w:ascii="Arial" w:hAnsi="Arial" w:hint="default"/>
        <w:sz w:val="24"/>
      </w:rPr>
    </w:lvl>
  </w:abstractNum>
  <w:num w:numId="1">
    <w:abstractNumId w:val="0"/>
  </w:num>
</w:numbering>
</file>

<file path=word/styles.xml><?xml version="1.0" encoding="utf-8"?>
<w:styles xmlns:w="http://schemas.openxmlformats.org/wordprocessingml/2006/main">
  <w:style w:type="paragraph" w:default="1" w:styleId="Normal">
    <w:name w:val="Normal"/>
    <w:pPr>
      <w:spacing w:before="0" w:after="200" w:line="360" w:lineRule="auto"/>
    </w:pPr>
    <w:rPr>
      <w:sz w:val="24"/>
      <w:szCs w:val="24"/>
    </w:rPr>
  </w:style>
  <w:style w:type="paragraph" w:styleId="Heading1">
    <w:name w:val="heading 1"/>
    <w:basedOn w:val="Normal"/>
    <w:pPr>
      <w:keepNext/>
      <w:spacing w:before="320" w:after="120" w:line="360" w:lineRule="auto"/>
      <w:outlineLvl w:val="0"/>
    </w:pPr>
    <w:rPr>
      <w:b/>
      <w:sz w:val="36"/>
    </w:rPr>
  </w:style>
  <w:style w:type="paragraph" w:styleId="Heading2">
    <w:name w:val="heading 2"/>
    <w:basedOn w:val="Normal"/>
    <w:pPr>
      <w:keepNext/>
      <w:spacing w:before="280" w:after="120" w:line="360" w:lineRule="auto"/>
      <w:outlineLvl w:val="1"/>
    </w:pPr>
    <w:rPr>
      <w:b/>
      <w:sz w:val="32"/>
    </w:rPr>
  </w:style>
  <w:style w:type="paragraph" w:styleId="ListParagraph">
    <w:name w:val="List Paragraph"/>
    <w:basedOn w:val="Normal"/>
    <w:pPr>
      <w:spacing w:before="0" w:after="120" w:line="360" w:lineRule="auto"/>
    </w:p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sites.google.com/d/14QVbFQiJRCtYD7ZtGj_vXc7KmXcKbV-A/p/1dHjSSlTvpRIfMtID3BZxppvkycqBPJ03/edit" TargetMode="External"/><Relationship Id="rId4" Type="http://schemas.openxmlformats.org/officeDocument/2006/relationships/hyperlink" Target="https://sites.google.com/d/14QVbFQiJRCtYD7ZtGj_vXc7KmXcKbV-A/p/134seNwGbrXKtoV9J-1kmQgIpUfDwQQWH/edit" TargetMode="External"/><Relationship Id="rId5" Type="http://schemas.openxmlformats.org/officeDocument/2006/relationships/hyperlink" Target="https://sites.google.com/d/14QVbFQiJRCtYD7ZtGj_vXc7KmXcKbV-A/p/1ca7A5VrFv_qtAzW10samn1SbD6C3ypMX/edit" TargetMode="External"/><Relationship Id="rId6" Type="http://schemas.openxmlformats.org/officeDocument/2006/relationships/hyperlink" Target="https://sites.google.com/d/14QVbFQiJRCtYD7ZtGj_vXc7KmXcKbV-A/p/1duS_NLSH_A9VyDpjhQZErA56-unfu4oc/edit" TargetMode="External"/><Relationship Id="rId7" Type="http://schemas.openxmlformats.org/officeDocument/2006/relationships/hyperlink" Target="https://sites.google.com/d/14QVbFQiJRCtYD7ZtGj_vXc7KmXcKbV-A/p/1d-K-9gPpiZ0TjNhx9klWtiMYkVKsCyP5/edit" TargetMode="External"/><Relationship Id="rId8" Type="http://schemas.openxmlformats.org/officeDocument/2006/relationships/hyperlink" Target="https://sites.google.com/d/14QVbFQiJRCtYD7ZtGj_vXc7KmXcKbV-A/p/1RaojSe7n1m3vgnH-hWnzdM2A_YRZURcp/edit" TargetMode="External"/><Relationship Id="rId9" Type="http://schemas.openxmlformats.org/officeDocument/2006/relationships/hyperlink" Target="https://sites.google.com/d/14QVbFQiJRCtYD7ZtGj_vXc7KmXcKbV-A/p/1iiwci1UqEOLZ3RtcXVA1KXsis4mRj0vv/edit" TargetMode="External"/><Relationship Id="rId10" Type="http://schemas.openxmlformats.org/officeDocument/2006/relationships/hyperlink" Target="https://sdgs.un.org/goals" TargetMode="External"/><Relationship Id="rId11" Type="http://schemas.openxmlformats.org/officeDocument/2006/relationships/hyperlink" Target="https://sdgs.un.org/goals" TargetMode="External"/><Relationship Id="rId12" Type="http://schemas.openxmlformats.org/officeDocument/2006/relationships/hyperlink" Target="https://sdgs.un.org/2030agenda" TargetMode="External"/><Relationship Id="rId13" Type="http://schemas.openxmlformats.org/officeDocument/2006/relationships/hyperlink" Target="https://sdgs.un.org/2030agenda" TargetMode="External"/><Relationship Id="rId14" Type="http://schemas.openxmlformats.org/officeDocument/2006/relationships/hyperlink" Target="https://doughnuteconomics.org/doughnut" TargetMode="External"/><Relationship Id="rId15" Type="http://schemas.openxmlformats.org/officeDocument/2006/relationships/hyperlink" Target="https://doughnuteconomics.org/doughnut" TargetMode="External"/><Relationship Id="rId16" Type="http://schemas.openxmlformats.org/officeDocument/2006/relationships/hyperlink" Target="https://lagen.nu/1974:152" TargetMode="External"/><Relationship Id="rId17" Type="http://schemas.openxmlformats.org/officeDocument/2006/relationships/hyperlink" Target="https://sites.google.com/d/14QVbFQiJRCtYD7ZtGj_vXc7KmXcKbV-A/p/1zBLmugJ-EMwftKagbvbhvF7H8h1Rs93v/edit" TargetMode="External"/></Relationships>
</file>