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Core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shared-catalog-rules-and-scaffolding">
        <w:r>
          <w:rPr>
            <w:rStyle w:val="Hyperlink"/>
          </w:rPr>
          <w:t xml:space="preserve">Shared catalog rules and scaffolding</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Core helps IT administrators and platform maintainers. Core provides the shared contracts, ingestion, identity helpers, task infrastructure and recovery foundation used by Townlight. Staff encounter these capabilities through Setup, Settings and System Health. Business decisions stay with their owning product.</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civiccore 1.3.0.dev1</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Complete setup</w:t>
      </w:r>
    </w:p>
    <w:p>
      <w:pPr>
        <w:pStyle w:val="FirstParagraph"/>
      </w:pPr>
      <w:r>
        <w:t xml:space="preserve">Choose folders and the full product composition. Create the city profile and the first named administrator. Choose a protected backup location. Defer optional local AI if it is not needed.</w:t>
      </w:r>
    </w:p>
    <w:bookmarkEnd w:id="23"/>
    <w:bookmarkStart w:id="24" w:name="workflow-2"/>
    <w:p>
      <w:pPr>
        <w:pStyle w:val="Heading2"/>
      </w:pPr>
      <w:r>
        <w:t xml:space="preserve">2 Activate the runtime</w:t>
      </w:r>
    </w:p>
    <w:p>
      <w:pPr>
        <w:pStyle w:val="FirstParagraph"/>
      </w:pPr>
      <w:r>
        <w:t xml:space="preserve">Run the first-run health check, wait for readiness and open Townlight. In System Health select Finish Records Migration to activate the canonical Python and PostgreSQL services. A running process alone is not a ready database.</w:t>
      </w:r>
    </w:p>
    <w:bookmarkEnd w:id="24"/>
    <w:bookmarkStart w:id="25" w:name="workflow-3"/>
    <w:p>
      <w:pPr>
        <w:pStyle w:val="Heading2"/>
      </w:pPr>
      <w:r>
        <w:t xml:space="preserve">3 Create staff access</w:t>
      </w:r>
    </w:p>
    <w:p>
      <w:pPr>
        <w:pStyle w:val="FirstParagraph"/>
      </w:pPr>
      <w:r>
        <w:t xml:space="preserve">Use Settings to create named staff. Sign out and confirm that staff can sign in with their own account. Keep administrator privileges with people responsible for setup; ordinary staff cannot administer users.</w:t>
      </w:r>
    </w:p>
    <w:bookmarkEnd w:id="25"/>
    <w:bookmarkStart w:id="26" w:name="workflow-4"/>
    <w:p>
      <w:pPr>
        <w:pStyle w:val="Heading2"/>
      </w:pPr>
      <w:r>
        <w:t xml:space="preserve">4 Import through the right product</w:t>
      </w:r>
    </w:p>
    <w:p>
      <w:pPr>
        <w:pStyle w:val="FirstParagraph"/>
      </w:pPr>
      <w:r>
        <w:t xml:space="preserve">Use the source library of Code, Zoning, Planning or Permitting. Inspect provenance and permissions there. Core ingestion helpers do not bypass the owning product’s source review.</w:t>
      </w:r>
    </w:p>
    <w:bookmarkEnd w:id="26"/>
    <w:bookmarkStart w:id="27" w:name="workflow-5"/>
    <w:p>
      <w:pPr>
        <w:pStyle w:val="Heading2"/>
      </w:pPr>
      <w:r>
        <w:t xml:space="preserve">5 Make a coherent backup</w:t>
      </w:r>
    </w:p>
    <w:p>
      <w:pPr>
        <w:pStyle w:val="FirstParagraph"/>
      </w:pPr>
      <w:r>
        <w:t xml:space="preserve">Save open work. Use Backup Now; it stops writers to preserve a consistent snapshot. Retain the backup receipt, then use Start to resume services.</w:t>
      </w:r>
    </w:p>
    <w:bookmarkEnd w:id="27"/>
    <w:bookmarkStart w:id="28" w:name="workflow-6"/>
    <w:p>
      <w:pPr>
        <w:pStyle w:val="Heading2"/>
      </w:pPr>
      <w:r>
        <w:t xml:space="preserve">6 Restore and verify</w:t>
      </w:r>
    </w:p>
    <w:p>
      <w:pPr>
        <w:pStyle w:val="FirstParagraph"/>
      </w:pPr>
      <w:r>
        <w:t xml:space="preserve">Use Restore Latest Backup after preserving current recovery material. A result of Restore needs service start is an intermediate state: use Start, then Check. Reopen a known saved record to confirm recovery.</w:t>
      </w:r>
    </w:p>
    <w:bookmarkEnd w:id="28"/>
    <w:bookmarkStart w:id="29" w:name="workflow-7"/>
    <w:p>
      <w:pPr>
        <w:pStyle w:val="Heading2"/>
      </w:pPr>
      <w:r>
        <w:t xml:space="preserve">7 Collect diagnostics</w:t>
      </w:r>
    </w:p>
    <w:p>
      <w:pPr>
        <w:pStyle w:val="FirstParagraph"/>
      </w:pPr>
      <w:r>
        <w:t xml:space="preserve">Record the time, selected composition, version, operation and exact error. Inspect System Health and create a redacted support bundle. Do not delete a profile as the first repair step.</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All products use selected Core contracts. Core does not create unrestricted access between products. Notice and Access are supporting components, rather than additional products in this nine-product beta.</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Administrator setup choices, named staff accounts, source material submitted through the owning product, and protected backup storage.</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Ready local services, permission-aware shared contracts, task results, diagnostics and coherent backup or restore receipts.</w:t>
            </w:r>
          </w:p>
        </w:tc>
      </w:tr>
    </w:tbl>
    <w:bookmarkStart w:id="32" w:name="product-boundary"/>
    <w:p>
      <w:pPr>
        <w:pStyle w:val="Heading2"/>
      </w:pPr>
      <w:r>
        <w:t xml:space="preserve">Product boundary</w:t>
      </w:r>
    </w:p>
    <w:p>
      <w:pPr>
        <w:pStyle w:val="FirstParagraph"/>
      </w:pPr>
      <w:r>
        <w:t xml:space="preserve">Shared catalog, exemption and module-generator code exists in this private candidate. It is not a centrally hosted federation service. A business product still owns its decisions, identity mapping and permission checks. Historical placeholder ADRs are retained as history, rather than descriptions of the current implementation.</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Core architecture" title="" id="35" name="Picture"/>
            <a:graphic>
              <a:graphicData uri="http://schemas.openxmlformats.org/drawingml/2006/picture">
                <pic:pic>
                  <pic:nvPicPr>
                    <pic:cNvPr descr="C:/Users/scott/Documents/Codex/2026-10-26/read-this-and-check-the-software/outputs/townlight-beta-1-documentation/site/assets/word/core-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Core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41" w:name="shared-catalog-rules-and-scaffolding"/>
    <w:p>
      <w:pPr>
        <w:pStyle w:val="Heading1"/>
      </w:pPr>
      <w:r>
        <w:t xml:space="preserve">Shared catalog rules and scaffolding</w:t>
      </w:r>
    </w:p>
    <w:p>
      <w:pPr>
        <w:pStyle w:val="FirstParagraph"/>
      </w:pPr>
      <w:r>
        <w:t xml:space="preserve">These are existing Core developer and administrator contracts. They do not add a new Core administration screen. Staff use the owning product’s normal controls; developers call the library only inside an authenticated application or an isolated synthetic test. The caller owns authorization and database commit or rollback.</w:t>
      </w:r>
    </w:p>
    <w:bookmarkStart w:id="38" w:name="catalog-import-and-readback"/>
    <w:p>
      <w:pPr>
        <w:pStyle w:val="Heading2"/>
      </w:pPr>
      <w:r>
        <w:t xml:space="preserve">Catalog import and readback</w:t>
      </w:r>
    </w:p>
    <w:p>
      <w:pPr>
        <w:pStyle w:val="Compact"/>
        <w:numPr>
          <w:ilvl w:val="0"/>
          <w:numId w:val="1002"/>
        </w:numPr>
      </w:pPr>
      <w:r>
        <w:t xml:space="preserve">Review the catalog’s</w:t>
      </w:r>
      <w:r>
        <w:t xml:space="preserve"> </w:t>
      </w:r>
      <w:r>
        <w:rPr>
          <w:rStyle w:val="VerbatimChar"/>
        </w:rPr>
        <w:t xml:space="preserve">catalog_version</w:t>
      </w:r>
      <w:r>
        <w:t xml:space="preserve">, domain names and systems. Each system supplies vendor name, protocol, data shape, record types, redaction tier 1–3 and optional discovery hints. Hints are limited to</w:t>
      </w:r>
      <w:r>
        <w:t xml:space="preserve"> </w:t>
      </w:r>
      <w:r>
        <w:rPr>
          <w:rStyle w:val="VerbatimChar"/>
        </w:rPr>
        <w:t xml:space="preserve">ports</w:t>
      </w:r>
      <w:r>
        <w:t xml:space="preserve">,</w:t>
      </w:r>
      <w:r>
        <w:t xml:space="preserve"> </w:t>
      </w:r>
      <w:r>
        <w:rPr>
          <w:rStyle w:val="VerbatimChar"/>
        </w:rPr>
        <w:t xml:space="preserve">db_patterns</w:t>
      </w:r>
      <w:r>
        <w:t xml:space="preserve"> </w:t>
      </w:r>
      <w:r>
        <w:t xml:space="preserve">and</w:t>
      </w:r>
      <w:r>
        <w:t xml:space="preserve"> </w:t>
      </w:r>
      <w:r>
        <w:rPr>
          <w:rStyle w:val="VerbatimChar"/>
        </w:rPr>
        <w:t xml:space="preserve">service_accounts</w:t>
      </w:r>
      <w:r>
        <w:t xml:space="preserve">; do not put credentials in them.</w:t>
      </w:r>
    </w:p>
    <w:p>
      <w:pPr>
        <w:pStyle w:val="Compact"/>
        <w:numPr>
          <w:ilvl w:val="0"/>
          <w:numId w:val="1002"/>
        </w:numPr>
      </w:pPr>
      <w:r>
        <w:t xml:space="preserve">In an authorized application transaction, call</w:t>
      </w:r>
      <w:r>
        <w:t xml:space="preserve"> </w:t>
      </w:r>
      <w:r>
        <w:rPr>
          <w:rStyle w:val="VerbatimChar"/>
        </w:rPr>
        <w:t xml:space="preserve">civiccore.catalog.import_catalog(session, bundle, actor_id=actual_actor_id)</w:t>
      </w:r>
      <w:r>
        <w:t xml:space="preserve">. The actor is the authenticated application’s identity. A changed or incomplete existing version is refused rather than overwritten. Use a newly reviewed version for changed catalog contents.</w:t>
      </w:r>
    </w:p>
    <w:p>
      <w:pPr>
        <w:pStyle w:val="Compact"/>
        <w:numPr>
          <w:ilvl w:val="0"/>
          <w:numId w:val="1002"/>
        </w:numPr>
      </w:pPr>
      <w:r>
        <w:t xml:space="preserve">Read</w:t>
      </w:r>
      <w:r>
        <w:t xml:space="preserve"> </w:t>
      </w:r>
      <w:r>
        <w:rPr>
          <w:rStyle w:val="VerbatimChar"/>
        </w:rPr>
        <w:t xml:space="preserve">domains(session)</w:t>
      </w:r>
      <w:r>
        <w:t xml:space="preserve">,</w:t>
      </w:r>
      <w:r>
        <w:t xml:space="preserve"> </w:t>
      </w:r>
      <w:r>
        <w:rPr>
          <w:rStyle w:val="VerbatimChar"/>
        </w:rPr>
        <w:t xml:space="preserve">system_catalog(session, domain)</w:t>
      </w:r>
      <w:r>
        <w:t xml:space="preserve"> </w:t>
      </w:r>
      <w:r>
        <w:t xml:space="preserve">and</w:t>
      </w:r>
      <w:r>
        <w:t xml:space="preserve"> </w:t>
      </w:r>
      <w:r>
        <w:rPr>
          <w:rStyle w:val="VerbatimChar"/>
        </w:rPr>
        <w:t xml:space="preserve">connectors_for(session, domain)</w:t>
      </w:r>
      <w:r>
        <w:t xml:space="preserve"> </w:t>
      </w:r>
      <w:r>
        <w:t xml:space="preserve">before committing. Commit only the intended import; roll back on refusal. Repeating an identical complete version is a no-op.</w:t>
      </w:r>
    </w:p>
    <w:p>
      <w:pPr>
        <w:pStyle w:val="Compact"/>
        <w:numPr>
          <w:ilvl w:val="0"/>
          <w:numId w:val="1002"/>
        </w:numPr>
      </w:pPr>
      <w:r>
        <w:t xml:space="preserve">Treat returned systems and connector recommendations as catalog information. Import does not discover vendor endpoints, install a connector or establish access to a city’s system.</w:t>
      </w:r>
    </w:p>
    <w:p>
      <w:pPr>
        <w:pStyle w:val="FirstParagraph"/>
      </w:pPr>
      <w:r>
        <w:t xml:space="preserve">The following synthetic library example belongs inside an existing authorized async transaction.</w:t>
      </w:r>
      <w:r>
        <w:t xml:space="preserve"> </w:t>
      </w:r>
      <w:r>
        <w:rPr>
          <w:rStyle w:val="VerbatimChar"/>
        </w:rPr>
        <w:t xml:space="preserve">session</w:t>
      </w:r>
      <w:r>
        <w:t xml:space="preserve"> </w:t>
      </w:r>
      <w:r>
        <w:t xml:space="preserve">and</w:t>
      </w:r>
      <w:r>
        <w:t xml:space="preserve"> </w:t>
      </w:r>
      <w:r>
        <w:rPr>
          <w:rStyle w:val="VerbatimChar"/>
        </w:rPr>
        <w:t xml:space="preserve">actual_actor_id</w:t>
      </w:r>
      <w:r>
        <w:t xml:space="preserve"> </w:t>
      </w:r>
      <w:r>
        <w:t xml:space="preserve">are supplied by that application; this is not a command that seeds an administrator.</w:t>
      </w:r>
    </w:p>
    <w:p>
      <w:pPr>
        <w:pStyle w:val="SourceCode"/>
      </w:pPr>
      <w:r>
        <w:rPr>
          <w:rStyle w:val="ImportTok"/>
        </w:rPr>
        <w:t xml:space="preserve">from</w:t>
      </w:r>
      <w:r>
        <w:rPr>
          <w:rStyle w:val="NormalTok"/>
        </w:rPr>
        <w:t xml:space="preserve"> civiccore.catalog </w:t>
      </w:r>
      <w:r>
        <w:rPr>
          <w:rStyle w:val="ImportTok"/>
        </w:rPr>
        <w:t xml:space="preserve">import</w:t>
      </w:r>
      <w:r>
        <w:rPr>
          <w:rStyle w:val="NormalTok"/>
        </w:rPr>
        <w:t xml:space="preserve"> import_catalog, system_catalog</w:t>
      </w:r>
      <w:r>
        <w:br/>
      </w:r>
      <w:r>
        <w:br/>
      </w:r>
      <w:r>
        <w:rPr>
          <w:rStyle w:val="NormalTok"/>
        </w:rPr>
        <w:t xml:space="preserve">bundle </w:t>
      </w:r>
      <w:r>
        <w:rPr>
          <w:rStyle w:val="OperatorTok"/>
        </w:rPr>
        <w:t xml:space="preserve">=</w:t>
      </w:r>
      <w:r>
        <w:rPr>
          <w:rStyle w:val="NormalTok"/>
        </w:rPr>
        <w:t xml:space="preserve"> {</w:t>
      </w:r>
      <w:r>
        <w:br/>
      </w:r>
      <w:r>
        <w:rPr>
          <w:rStyle w:val="NormalTok"/>
        </w:rPr>
        <w:t xml:space="preserve">    </w:t>
      </w:r>
      <w:r>
        <w:rPr>
          <w:rStyle w:val="StringTok"/>
        </w:rPr>
        <w:t xml:space="preserve">"catalog_version"</w:t>
      </w:r>
      <w:r>
        <w:rPr>
          <w:rStyle w:val="NormalTok"/>
        </w:rPr>
        <w:t xml:space="preserve">: </w:t>
      </w:r>
      <w:r>
        <w:rPr>
          <w:rStyle w:val="StringTok"/>
        </w:rPr>
        <w:t xml:space="preserve">"synthetic-1"</w:t>
      </w:r>
      <w:r>
        <w:rPr>
          <w:rStyle w:val="NormalTok"/>
        </w:rPr>
        <w:t xml:space="preserve">,</w:t>
      </w:r>
      <w:r>
        <w:br/>
      </w:r>
      <w:r>
        <w:rPr>
          <w:rStyle w:val="NormalTok"/>
        </w:rPr>
        <w:t xml:space="preserve">    </w:t>
      </w:r>
      <w:r>
        <w:rPr>
          <w:rStyle w:val="StringTok"/>
        </w:rPr>
        <w:t xml:space="preserve">"domains"</w:t>
      </w:r>
      <w:r>
        <w:rPr>
          <w:rStyle w:val="NormalTok"/>
        </w:rPr>
        <w:t xml:space="preserve">: [{</w:t>
      </w:r>
      <w:r>
        <w:rPr>
          <w:rStyle w:val="StringTok"/>
        </w:rPr>
        <w:t xml:space="preserve">"domain"</w:t>
      </w:r>
      <w:r>
        <w:rPr>
          <w:rStyle w:val="NormalTok"/>
        </w:rPr>
        <w:t xml:space="preserve">: </w:t>
      </w:r>
      <w:r>
        <w:rPr>
          <w:rStyle w:val="StringTok"/>
        </w:rPr>
        <w:t xml:space="preserve">"synthetic-records"</w:t>
      </w:r>
      <w:r>
        <w:rPr>
          <w:rStyle w:val="NormalTok"/>
        </w:rPr>
        <w:t xml:space="preserve">, </w:t>
      </w:r>
      <w:r>
        <w:rPr>
          <w:rStyle w:val="StringTok"/>
        </w:rPr>
        <w:t xml:space="preserve">"systems"</w:t>
      </w:r>
      <w:r>
        <w:rPr>
          <w:rStyle w:val="NormalTok"/>
        </w:rPr>
        <w:t xml:space="preserve">: [{</w:t>
      </w:r>
      <w:r>
        <w:br/>
      </w:r>
      <w:r>
        <w:rPr>
          <w:rStyle w:val="NormalTok"/>
        </w:rPr>
        <w:t xml:space="preserve">        </w:t>
      </w:r>
      <w:r>
        <w:rPr>
          <w:rStyle w:val="StringTok"/>
        </w:rPr>
        <w:t xml:space="preserve">"vendor_name"</w:t>
      </w:r>
      <w:r>
        <w:rPr>
          <w:rStyle w:val="NormalTok"/>
        </w:rPr>
        <w:t xml:space="preserve">: </w:t>
      </w:r>
      <w:r>
        <w:rPr>
          <w:rStyle w:val="StringTok"/>
        </w:rPr>
        <w:t xml:space="preserve">"Synthetic file source"</w:t>
      </w:r>
      <w:r>
        <w:rPr>
          <w:rStyle w:val="NormalTok"/>
        </w:rPr>
        <w:t xml:space="preserve">,</w:t>
      </w:r>
      <w:r>
        <w:br/>
      </w:r>
      <w:r>
        <w:rPr>
          <w:rStyle w:val="NormalTok"/>
        </w:rPr>
        <w:t xml:space="preserve">        </w:t>
      </w:r>
      <w:r>
        <w:rPr>
          <w:rStyle w:val="StringTok"/>
        </w:rPr>
        <w:t xml:space="preserve">"access_protocol"</w:t>
      </w:r>
      <w:r>
        <w:rPr>
          <w:rStyle w:val="NormalTok"/>
        </w:rPr>
        <w:t xml:space="preserve">: </w:t>
      </w:r>
      <w:r>
        <w:rPr>
          <w:rStyle w:val="StringTok"/>
        </w:rPr>
        <w:t xml:space="preserve">"file"</w:t>
      </w:r>
      <w:r>
        <w:rPr>
          <w:rStyle w:val="NormalTok"/>
        </w:rPr>
        <w:t xml:space="preserve">, </w:t>
      </w:r>
      <w:r>
        <w:rPr>
          <w:rStyle w:val="StringTok"/>
        </w:rPr>
        <w:t xml:space="preserve">"data_shape"</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StringTok"/>
        </w:rPr>
        <w:t xml:space="preserve">"common_record_types"</w:t>
      </w:r>
      <w:r>
        <w:rPr>
          <w:rStyle w:val="NormalTok"/>
        </w:rPr>
        <w:t xml:space="preserve">: [</w:t>
      </w:r>
      <w:r>
        <w:rPr>
          <w:rStyle w:val="StringTok"/>
        </w:rPr>
        <w:t xml:space="preserve">"synthetic minutes"</w:t>
      </w:r>
      <w:r>
        <w:rPr>
          <w:rStyle w:val="NormalTok"/>
        </w:rPr>
        <w:t xml:space="preserve">],</w:t>
      </w:r>
      <w:r>
        <w:br/>
      </w:r>
      <w:r>
        <w:rPr>
          <w:rStyle w:val="NormalTok"/>
        </w:rPr>
        <w:t xml:space="preserve">        </w:t>
      </w:r>
      <w:r>
        <w:rPr>
          <w:rStyle w:val="StringTok"/>
        </w:rPr>
        <w:t xml:space="preserve">"redaction_tier"</w:t>
      </w:r>
      <w:r>
        <w:rPr>
          <w:rStyle w:val="NormalTok"/>
        </w:rPr>
        <w:t xml:space="preserve">: </w:t>
      </w:r>
      <w:r>
        <w:rPr>
          <w:rStyle w:val="DecValTok"/>
        </w:rPr>
        <w:t xml:space="preserve">2</w:t>
      </w:r>
      <w:r>
        <w:rPr>
          <w:rStyle w:val="NormalTok"/>
        </w:rPr>
        <w:t xml:space="preserve">, </w:t>
      </w:r>
      <w:r>
        <w:rPr>
          <w:rStyle w:val="StringTok"/>
        </w:rPr>
        <w:t xml:space="preserve">"discovery_hints"</w:t>
      </w:r>
      <w:r>
        <w:rPr>
          <w:rStyle w:val="NormalTok"/>
        </w:rPr>
        <w:t xml:space="preserve">: {}</w:t>
      </w:r>
      <w:r>
        <w:br/>
      </w:r>
      <w:r>
        <w:rPr>
          <w:rStyle w:val="NormalTok"/>
        </w:rPr>
        <w:t xml:space="preserve">    }]}]</w:t>
      </w:r>
      <w:r>
        <w:br/>
      </w:r>
      <w:r>
        <w:rPr>
          <w:rStyle w:val="NormalTok"/>
        </w:rPr>
        <w:t xml:space="preserve">}</w:t>
      </w:r>
      <w:r>
        <w:br/>
      </w:r>
      <w:r>
        <w:rPr>
          <w:rStyle w:val="NormalTok"/>
        </w:rPr>
        <w:t xml:space="preserve">loaded </w:t>
      </w:r>
      <w:r>
        <w:rPr>
          <w:rStyle w:val="OperatorTok"/>
        </w:rPr>
        <w:t xml:space="preserve">=</w:t>
      </w:r>
      <w:r>
        <w:rPr>
          <w:rStyle w:val="NormalTok"/>
        </w:rPr>
        <w:t xml:space="preserve"> </w:t>
      </w:r>
      <w:r>
        <w:rPr>
          <w:rStyle w:val="ControlFlowTok"/>
        </w:rPr>
        <w:t xml:space="preserve">await</w:t>
      </w:r>
      <w:r>
        <w:rPr>
          <w:rStyle w:val="NormalTok"/>
        </w:rPr>
        <w:t xml:space="preserve"> import_catalog(session, bundle, actor_id</w:t>
      </w:r>
      <w:r>
        <w:rPr>
          <w:rStyle w:val="OperatorTok"/>
        </w:rPr>
        <w:t xml:space="preserve">=</w:t>
      </w:r>
      <w:r>
        <w:rPr>
          <w:rStyle w:val="NormalTok"/>
        </w:rPr>
        <w:t xml:space="preserve">actual_actor_id)</w:t>
      </w:r>
      <w:r>
        <w:br/>
      </w:r>
      <w:r>
        <w:rPr>
          <w:rStyle w:val="NormalTok"/>
        </w:rPr>
        <w:t xml:space="preserve">rows </w:t>
      </w:r>
      <w:r>
        <w:rPr>
          <w:rStyle w:val="OperatorTok"/>
        </w:rPr>
        <w:t xml:space="preserve">=</w:t>
      </w:r>
      <w:r>
        <w:rPr>
          <w:rStyle w:val="NormalTok"/>
        </w:rPr>
        <w:t xml:space="preserve"> </w:t>
      </w:r>
      <w:r>
        <w:rPr>
          <w:rStyle w:val="ControlFlowTok"/>
        </w:rPr>
        <w:t xml:space="preserve">await</w:t>
      </w:r>
      <w:r>
        <w:rPr>
          <w:rStyle w:val="NormalTok"/>
        </w:rPr>
        <w:t xml:space="preserve"> system_catalog(session, </w:t>
      </w:r>
      <w:r>
        <w:rPr>
          <w:rStyle w:val="StringTok"/>
        </w:rPr>
        <w:t xml:space="preserve">"synthetic-records"</w:t>
      </w:r>
      <w:r>
        <w:rPr>
          <w:rStyle w:val="NormalTok"/>
        </w:rPr>
        <w:t xml:space="preserve">)</w:t>
      </w:r>
    </w:p>
    <w:p>
      <w:pPr>
        <w:pStyle w:val="FirstParagraph"/>
      </w:pPr>
      <w:r>
        <w:t xml:space="preserve">The Records compatibility facade reads its bundled</w:t>
      </w:r>
      <w:r>
        <w:t xml:space="preserve"> </w:t>
      </w:r>
      <w:r>
        <w:rPr>
          <w:rStyle w:val="VerbatimChar"/>
        </w:rPr>
        <w:t xml:space="preserve">app/data/systems_catalog.json</w:t>
      </w:r>
      <w:r>
        <w:t xml:space="preserve"> </w:t>
      </w:r>
      <w:r>
        <w:t xml:space="preserve">through Core. Its existing administrator</w:t>
      </w:r>
      <w:r>
        <w:t xml:space="preserve"> </w:t>
      </w:r>
      <w:r>
        <w:rPr>
          <w:rStyle w:val="VerbatimChar"/>
        </w:rPr>
        <w:t xml:space="preserve">POST /catalog/load</w:t>
      </w:r>
      <w:r>
        <w:t xml:space="preserve"> </w:t>
      </w:r>
      <w:r>
        <w:t xml:space="preserve">takes no replacement bundle body;</w:t>
      </w:r>
      <w:r>
        <w:t xml:space="preserve"> </w:t>
      </w:r>
      <w:r>
        <w:rPr>
          <w:rStyle w:val="VerbatimChar"/>
        </w:rPr>
        <w:t xml:space="preserve">GET /catalog/domains</w:t>
      </w:r>
      <w:r>
        <w:t xml:space="preserve">,</w:t>
      </w:r>
      <w:r>
        <w:t xml:space="preserve"> </w:t>
      </w:r>
      <w:r>
        <w:rPr>
          <w:rStyle w:val="VerbatimChar"/>
        </w:rPr>
        <w:t xml:space="preserve">/catalog/systems?domain=...</w:t>
      </w:r>
      <w:r>
        <w:t xml:space="preserve"> </w:t>
      </w:r>
      <w:r>
        <w:t xml:space="preserve">and</w:t>
      </w:r>
      <w:r>
        <w:t xml:space="preserve"> </w:t>
      </w:r>
      <w:r>
        <w:rPr>
          <w:rStyle w:val="VerbatimChar"/>
        </w:rPr>
        <w:t xml:space="preserve">/catalog/connectors?domain=...</w:t>
      </w:r>
      <w:r>
        <w:t xml:space="preserve"> </w:t>
      </w:r>
      <w:r>
        <w:t xml:space="preserve">expose readback. These non-desktop routes use the application’s actual authenticated staff/admin dependencies. Do not substitute an invented role header. The shared SDK example above is the route for a developer-supplied bundle.</w:t>
      </w:r>
    </w:p>
    <w:bookmarkEnd w:id="38"/>
    <w:bookmarkStart w:id="39" w:name="Xa814f86ec8208751e9b604b07b2ed51bdcf5064"/>
    <w:p>
      <w:pPr>
        <w:pStyle w:val="Heading2"/>
      </w:pPr>
      <w:r>
        <w:t xml:space="preserve">Jurisdictional rule evaluation and review</w:t>
      </w:r>
    </w:p>
    <w:p>
      <w:pPr>
        <w:pStyle w:val="FirstParagraph"/>
      </w:pPr>
      <w:r>
        <w:t xml:space="preserve">Select the jurisdiction and active reviewed rule versions before evaluating document text. Core’s</w:t>
      </w:r>
      <w:r>
        <w:t xml:space="preserve"> </w:t>
      </w:r>
      <w:r>
        <w:rPr>
          <w:rStyle w:val="VerbatimChar"/>
        </w:rPr>
        <w:t xml:space="preserve">Rule</w:t>
      </w:r>
      <w:r>
        <w:t xml:space="preserve"> </w:t>
      </w:r>
      <w:r>
        <w:t xml:space="preserve">carries</w:t>
      </w:r>
      <w:r>
        <w:t xml:space="preserve"> </w:t>
      </w:r>
      <w:r>
        <w:rPr>
          <w:rStyle w:val="VerbatimChar"/>
        </w:rPr>
        <w:t xml:space="preserve">id</w:t>
      </w:r>
      <w:r>
        <w:t xml:space="preserve">,</w:t>
      </w:r>
      <w:r>
        <w:t xml:space="preserve"> </w:t>
      </w:r>
      <w:r>
        <w:rPr>
          <w:rStyle w:val="VerbatimChar"/>
        </w:rPr>
        <w:t xml:space="preserve">state_code</w:t>
      </w:r>
      <w:r>
        <w:t xml:space="preserve">,</w:t>
      </w:r>
      <w:r>
        <w:t xml:space="preserve"> </w:t>
      </w:r>
      <w:r>
        <w:rPr>
          <w:rStyle w:val="VerbatimChar"/>
        </w:rPr>
        <w:t xml:space="preserve">category</w:t>
      </w:r>
      <w:r>
        <w:t xml:space="preserve">,</w:t>
      </w:r>
      <w:r>
        <w:t xml:space="preserve"> </w:t>
      </w:r>
      <w:r>
        <w:rPr>
          <w:rStyle w:val="VerbatimChar"/>
        </w:rPr>
        <w:t xml:space="preserve">rule_type</w:t>
      </w:r>
      <w:r>
        <w:t xml:space="preserve">,</w:t>
      </w:r>
      <w:r>
        <w:t xml:space="preserve"> </w:t>
      </w:r>
      <w:r>
        <w:rPr>
          <w:rStyle w:val="VerbatimChar"/>
        </w:rPr>
        <w:t xml:space="preserve">definition</w:t>
      </w:r>
      <w:r>
        <w:t xml:space="preserve"> </w:t>
      </w:r>
      <w:r>
        <w:t xml:space="preserve">and integer</w:t>
      </w:r>
      <w:r>
        <w:t xml:space="preserve"> </w:t>
      </w:r>
      <w:r>
        <w:rPr>
          <w:rStyle w:val="VerbatimChar"/>
        </w:rPr>
        <w:t xml:space="preserve">version</w:t>
      </w:r>
      <w:r>
        <w:t xml:space="preserve">. Supported supplied rule types are</w:t>
      </w:r>
      <w:r>
        <w:t xml:space="preserve"> </w:t>
      </w:r>
      <w:r>
        <w:rPr>
          <w:rStyle w:val="VerbatimChar"/>
        </w:rPr>
        <w:t xml:space="preserve">keyword</w:t>
      </w:r>
      <w:r>
        <w:t xml:space="preserve"> </w:t>
      </w:r>
      <w:r>
        <w:t xml:space="preserve">and</w:t>
      </w:r>
      <w:r>
        <w:t xml:space="preserve"> </w:t>
      </w:r>
      <w:r>
        <w:rPr>
          <w:rStyle w:val="VerbatimChar"/>
        </w:rPr>
        <w:t xml:space="preserve">regex</w:t>
      </w:r>
      <w:r>
        <w:t xml:space="preserve">; an unsupported rule or incomplete/timed-out scan raises</w:t>
      </w:r>
      <w:r>
        <w:t xml:space="preserve"> </w:t>
      </w:r>
      <w:r>
        <w:rPr>
          <w:rStyle w:val="VerbatimChar"/>
        </w:rPr>
        <w:t xml:space="preserve">RuleEvaluationError</w:t>
      </w:r>
      <w:r>
        <w:t xml:space="preserve">. An error must remain an incomplete scan, never “no exemptions found.” Core does not assume a jurisdiction or claim complete legal coverage.</w:t>
      </w:r>
    </w:p>
    <w:p>
      <w:pPr>
        <w:pStyle w:val="SourceCode"/>
      </w:pPr>
      <w:r>
        <w:rPr>
          <w:rStyle w:val="ImportTok"/>
        </w:rPr>
        <w:t xml:space="preserve">from</w:t>
      </w:r>
      <w:r>
        <w:rPr>
          <w:rStyle w:val="NormalTok"/>
        </w:rPr>
        <w:t xml:space="preserve"> uuid </w:t>
      </w:r>
      <w:r>
        <w:rPr>
          <w:rStyle w:val="ImportTok"/>
        </w:rPr>
        <w:t xml:space="preserve">import</w:t>
      </w:r>
      <w:r>
        <w:rPr>
          <w:rStyle w:val="NormalTok"/>
        </w:rPr>
        <w:t xml:space="preserve"> UUID</w:t>
      </w:r>
      <w:r>
        <w:br/>
      </w:r>
      <w:r>
        <w:rPr>
          <w:rStyle w:val="ImportTok"/>
        </w:rPr>
        <w:t xml:space="preserve">from</w:t>
      </w:r>
      <w:r>
        <w:rPr>
          <w:rStyle w:val="NormalTok"/>
        </w:rPr>
        <w:t xml:space="preserve"> civiccore.exemptions </w:t>
      </w:r>
      <w:r>
        <w:rPr>
          <w:rStyle w:val="ImportTok"/>
        </w:rPr>
        <w:t xml:space="preserve">import</w:t>
      </w:r>
      <w:r>
        <w:rPr>
          <w:rStyle w:val="NormalTok"/>
        </w:rPr>
        <w:t xml:space="preserve"> Rule, evaluate, RuleEvaluationError</w:t>
      </w:r>
      <w:r>
        <w:br/>
      </w:r>
      <w:r>
        <w:br/>
      </w:r>
      <w:r>
        <w:rPr>
          <w:rStyle w:val="NormalTok"/>
        </w:rPr>
        <w:t xml:space="preserve">rule </w:t>
      </w:r>
      <w:r>
        <w:rPr>
          <w:rStyle w:val="OperatorTok"/>
        </w:rPr>
        <w:t xml:space="preserve">=</w:t>
      </w:r>
      <w:r>
        <w:rPr>
          <w:rStyle w:val="NormalTok"/>
        </w:rPr>
        <w:t xml:space="preserve"> Rule(</w:t>
      </w:r>
      <w:r>
        <w:br/>
      </w:r>
      <w:r>
        <w:rPr>
          <w:rStyle w:val="NormalTok"/>
        </w:rPr>
        <w:t xml:space="preserve">    </w:t>
      </w:r>
      <w:r>
        <w:rPr>
          <w:rStyle w:val="BuiltInTok"/>
        </w:rPr>
        <w:t xml:space="preserve">id</w:t>
      </w:r>
      <w:r>
        <w:rPr>
          <w:rStyle w:val="OperatorTok"/>
        </w:rPr>
        <w:t xml:space="preserve">=</w:t>
      </w:r>
      <w:r>
        <w:rPr>
          <w:rStyle w:val="NormalTok"/>
        </w:rPr>
        <w:t xml:space="preserve">UUID(</w:t>
      </w:r>
      <w:r>
        <w:rPr>
          <w:rStyle w:val="StringTok"/>
        </w:rPr>
        <w:t xml:space="preserve">"11111111-1111-4111-8111-111111111111"</w:t>
      </w:r>
      <w:r>
        <w:rPr>
          <w:rStyle w:val="NormalTok"/>
        </w:rPr>
        <w:t xml:space="preserve">),</w:t>
      </w:r>
      <w:r>
        <w:br/>
      </w:r>
      <w:r>
        <w:rPr>
          <w:rStyle w:val="NormalTok"/>
        </w:rPr>
        <w:t xml:space="preserve">    state_code</w:t>
      </w:r>
      <w:r>
        <w:rPr>
          <w:rStyle w:val="OperatorTok"/>
        </w:rPr>
        <w:t xml:space="preserve">=</w:t>
      </w:r>
      <w:r>
        <w:rPr>
          <w:rStyle w:val="StringTok"/>
        </w:rPr>
        <w:t xml:space="preserve">"CO"</w:t>
      </w:r>
      <w:r>
        <w:rPr>
          <w:rStyle w:val="NormalTok"/>
        </w:rPr>
        <w:t xml:space="preserve">, category</w:t>
      </w:r>
      <w:r>
        <w:rPr>
          <w:rStyle w:val="OperatorTok"/>
        </w:rPr>
        <w:t xml:space="preserve">=</w:t>
      </w:r>
      <w:r>
        <w:rPr>
          <w:rStyle w:val="StringTok"/>
        </w:rPr>
        <w:t xml:space="preserve">"Synthetic review flag"</w:t>
      </w:r>
      <w:r>
        <w:rPr>
          <w:rStyle w:val="NormalTok"/>
        </w:rPr>
        <w:t xml:space="preserve">,</w:t>
      </w:r>
      <w:r>
        <w:br/>
      </w:r>
      <w:r>
        <w:rPr>
          <w:rStyle w:val="NormalTok"/>
        </w:rPr>
        <w:t xml:space="preserve">    rule_type</w:t>
      </w:r>
      <w:r>
        <w:rPr>
          <w:rStyle w:val="OperatorTok"/>
        </w:rPr>
        <w:t xml:space="preserve">=</w:t>
      </w:r>
      <w:r>
        <w:rPr>
          <w:rStyle w:val="StringTok"/>
        </w:rPr>
        <w:t xml:space="preserve">"keyword"</w:t>
      </w:r>
      <w:r>
        <w:rPr>
          <w:rStyle w:val="NormalTok"/>
        </w:rPr>
        <w:t xml:space="preserve">, definition</w:t>
      </w:r>
      <w:r>
        <w:rPr>
          <w:rStyle w:val="OperatorTok"/>
        </w:rPr>
        <w:t xml:space="preserve">=</w:t>
      </w:r>
      <w:r>
        <w:rPr>
          <w:rStyle w:val="StringTok"/>
        </w:rPr>
        <w:t xml:space="preserve">"synthetic protected text"</w:t>
      </w:r>
      <w:r>
        <w:rPr>
          <w:rStyle w:val="NormalTok"/>
        </w:rPr>
        <w:t xml:space="preserve">, version</w:t>
      </w:r>
      <w:r>
        <w:rPr>
          <w:rStyle w:val="OperatorTok"/>
        </w:rPr>
        <w:t xml:space="preserve">=</w:t>
      </w:r>
      <w:r>
        <w:rPr>
          <w:rStyle w:val="DecValTok"/>
        </w:rPr>
        <w:t xml:space="preserve">1</w:t>
      </w:r>
      <w:r>
        <w:br/>
      </w:r>
      <w:r>
        <w:rPr>
          <w:rStyle w:val="NormalTok"/>
        </w:rPr>
        <w:t xml:space="preserve">)</w:t>
      </w:r>
      <w:r>
        <w:br/>
      </w:r>
      <w:r>
        <w:rPr>
          <w:rStyle w:val="ControlFlowTok"/>
        </w:rPr>
        <w:t xml:space="preserve">try</w:t>
      </w:r>
      <w:r>
        <w:rPr>
          <w:rStyle w:val="NormalTok"/>
        </w:rPr>
        <w:t xml:space="preserve">:</w:t>
      </w:r>
      <w:r>
        <w:br/>
      </w:r>
      <w:r>
        <w:rPr>
          <w:rStyle w:val="NormalTok"/>
        </w:rPr>
        <w:t xml:space="preserve">    flags </w:t>
      </w:r>
      <w:r>
        <w:rPr>
          <w:rStyle w:val="OperatorTok"/>
        </w:rPr>
        <w:t xml:space="preserve">=</w:t>
      </w:r>
      <w:r>
        <w:rPr>
          <w:rStyle w:val="NormalTok"/>
        </w:rPr>
        <w:t xml:space="preserve"> evaluate(</w:t>
      </w:r>
      <w:r>
        <w:rPr>
          <w:rStyle w:val="StringTok"/>
        </w:rPr>
        <w:t xml:space="preserve">"Contains synthetic protected text"</w:t>
      </w:r>
      <w:r>
        <w:rPr>
          <w:rStyle w:val="NormalTok"/>
        </w:rPr>
        <w:t xml:space="preserve">, </w:t>
      </w:r>
      <w:r>
        <w:rPr>
          <w:rStyle w:val="StringTok"/>
        </w:rPr>
        <w:t xml:space="preserve">"CO"</w:t>
      </w:r>
      <w:r>
        <w:rPr>
          <w:rStyle w:val="NormalTok"/>
        </w:rPr>
        <w:t xml:space="preserve">, rules</w:t>
      </w:r>
      <w:r>
        <w:rPr>
          <w:rStyle w:val="OperatorTok"/>
        </w:rPr>
        <w:t xml:space="preserve">=</w:t>
      </w:r>
      <w:r>
        <w:rPr>
          <w:rStyle w:val="NormalTok"/>
        </w:rPr>
        <w:t xml:space="preserve">[rule])</w:t>
      </w:r>
      <w:r>
        <w:br/>
      </w:r>
      <w:r>
        <w:rPr>
          <w:rStyle w:val="ControlFlowTok"/>
        </w:rPr>
        <w:t xml:space="preserve">except</w:t>
      </w:r>
      <w:r>
        <w:rPr>
          <w:rStyle w:val="NormalTok"/>
        </w:rPr>
        <w:t xml:space="preserve"> RuleEvaluationError:</w:t>
      </w:r>
      <w:r>
        <w:br/>
      </w:r>
      <w:r>
        <w:rPr>
          <w:rStyle w:val="NormalTok"/>
        </w:rPr>
        <w:t xml:space="preserve">    </w:t>
      </w:r>
      <w:r>
        <w:rPr>
          <w:rStyle w:val="ControlFlowTok"/>
        </w:rPr>
        <w:t xml:space="preserve">raise</w:t>
      </w:r>
      <w:r>
        <w:rPr>
          <w:rStyle w:val="NormalTok"/>
        </w:rPr>
        <w:t xml:space="preserve">  </w:t>
      </w:r>
      <w:r>
        <w:rPr>
          <w:rStyle w:val="CommentTok"/>
        </w:rPr>
        <w:t xml:space="preserve"># The owning application records an incomplete scan.</w:t>
      </w:r>
    </w:p>
    <w:p>
      <w:pPr>
        <w:pStyle w:val="FirstParagraph"/>
      </w:pPr>
      <w:r>
        <w:t xml:space="preserve">This is fictional test text, not a Colorado exemption rule. Read each result’s matched text, rule identity/version and confidence, then use Records’ explicit reviewer decision and legal/source basis. A flag is not an authorized withholding or redaction. Records’ existing exemption rule/history/test and flag-review endpoints are listed in its technical reference; record changes through those controls, preserving history.</w:t>
      </w:r>
    </w:p>
    <w:bookmarkEnd w:id="39"/>
    <w:bookmarkStart w:id="40" w:name="scaffold-plan-and-generate"/>
    <w:p>
      <w:pPr>
        <w:pStyle w:val="Heading2"/>
      </w:pPr>
      <w:r>
        <w:t xml:space="preserve">Scaffold plan and generate</w:t>
      </w:r>
    </w:p>
    <w:p>
      <w:pPr>
        <w:pStyle w:val="FirstParagraph"/>
      </w:pPr>
      <w:r>
        <w:t xml:space="preserve">Run the existing CLI from a developer environment containing the matching Core package. Choose an existing empty parent workspace directory, not an installed application’s directory. The module’s own directory will be created underneath it. The following creates only a fictional module project; it does not register, install, migrate or run it.</w:t>
      </w:r>
    </w:p>
    <w:p>
      <w:pPr>
        <w:pStyle w:val="SourceCode"/>
      </w:pPr>
      <w:r>
        <w:rPr>
          <w:rStyle w:val="OperatorTok"/>
        </w:rPr>
        <w:t xml:space="preserve">&amp;</w:t>
      </w:r>
      <w:r>
        <w:rPr>
          <w:rStyle w:val="NormalTok"/>
        </w:rPr>
        <w:t xml:space="preserve"> </w:t>
      </w:r>
      <w:r>
        <w:rPr>
          <w:rStyle w:val="VariableTok"/>
        </w:rPr>
        <w:t xml:space="preserve">$control</w:t>
      </w:r>
      <w:r>
        <w:rPr>
          <w:rStyle w:val="NormalTok"/>
        </w:rPr>
        <w:t xml:space="preserve"> </w:t>
      </w:r>
      <w:r>
        <w:rPr>
          <w:rStyle w:val="OperatorTok"/>
        </w:rPr>
        <w:t xml:space="preserve">-</w:t>
      </w:r>
      <w:r>
        <w:rPr>
          <w:rStyle w:val="NormalTok"/>
        </w:rPr>
        <w:t xml:space="preserve">m civiccore</w:t>
      </w:r>
      <w:r>
        <w:rPr>
          <w:rStyle w:val="OperatorTok"/>
        </w:rPr>
        <w:t xml:space="preserve">.</w:t>
      </w:r>
      <w:r>
        <w:rPr>
          <w:rStyle w:val="FunctionTok"/>
        </w:rPr>
        <w:t xml:space="preserve">scaffold</w:t>
      </w:r>
      <w:r>
        <w:rPr>
          <w:rStyle w:val="NormalTok"/>
        </w:rPr>
        <w:t xml:space="preserve"> plan civicnotes `</w:t>
      </w:r>
      <w:r>
        <w:br/>
      </w:r>
      <w:r>
        <w:rPr>
          <w:rStyle w:val="NormalTok"/>
        </w:rPr>
        <w:t xml:space="preserve">  </w:t>
      </w:r>
      <w:r>
        <w:rPr>
          <w:rStyle w:val="OperatorTok"/>
        </w:rPr>
        <w:t xml:space="preserve">--</w:t>
      </w:r>
      <w:r>
        <w:rPr>
          <w:rStyle w:val="NormalTok"/>
        </w:rPr>
        <w:t xml:space="preserve">name </w:t>
      </w:r>
      <w:r>
        <w:rPr>
          <w:rStyle w:val="StringTok"/>
        </w:rPr>
        <w:t xml:space="preserve">'Synthetic Notes'</w:t>
      </w:r>
      <w:r>
        <w:rPr>
          <w:rStyle w:val="NormalTok"/>
        </w:rPr>
        <w:t xml:space="preserve"> </w:t>
      </w:r>
      <w:r>
        <w:rPr>
          <w:rStyle w:val="OperatorTok"/>
        </w:rPr>
        <w:t xml:space="preserve">--</w:t>
      </w:r>
      <w:r>
        <w:rPr>
          <w:rStyle w:val="NormalTok"/>
        </w:rPr>
        <w:t xml:space="preserve">description </w:t>
      </w:r>
      <w:r>
        <w:rPr>
          <w:rStyle w:val="StringTok"/>
        </w:rPr>
        <w:t xml:space="preserve">'Synthetic scaffold exercise'</w:t>
      </w:r>
      <w:r>
        <w:br/>
      </w:r>
      <w:r>
        <w:rPr>
          <w:rStyle w:val="OperatorTok"/>
        </w:rPr>
        <w:t xml:space="preserve">&amp;</w:t>
      </w:r>
      <w:r>
        <w:rPr>
          <w:rStyle w:val="NormalTok"/>
        </w:rPr>
        <w:t xml:space="preserve"> </w:t>
      </w:r>
      <w:r>
        <w:rPr>
          <w:rStyle w:val="VariableTok"/>
        </w:rPr>
        <w:t xml:space="preserve">$control</w:t>
      </w:r>
      <w:r>
        <w:rPr>
          <w:rStyle w:val="NormalTok"/>
        </w:rPr>
        <w:t xml:space="preserve"> </w:t>
      </w:r>
      <w:r>
        <w:rPr>
          <w:rStyle w:val="OperatorTok"/>
        </w:rPr>
        <w:t xml:space="preserve">-</w:t>
      </w:r>
      <w:r>
        <w:rPr>
          <w:rStyle w:val="NormalTok"/>
        </w:rPr>
        <w:t xml:space="preserve">m civiccore</w:t>
      </w:r>
      <w:r>
        <w:rPr>
          <w:rStyle w:val="OperatorTok"/>
        </w:rPr>
        <w:t xml:space="preserve">.</w:t>
      </w:r>
      <w:r>
        <w:rPr>
          <w:rStyle w:val="FunctionTok"/>
        </w:rPr>
        <w:t xml:space="preserve">scaffold</w:t>
      </w:r>
      <w:r>
        <w:rPr>
          <w:rStyle w:val="NormalTok"/>
        </w:rPr>
        <w:t xml:space="preserve"> generate civicnotes `</w:t>
      </w:r>
      <w:r>
        <w:br/>
      </w:r>
      <w:r>
        <w:rPr>
          <w:rStyle w:val="NormalTok"/>
        </w:rPr>
        <w:t xml:space="preserve">  </w:t>
      </w:r>
      <w:r>
        <w:rPr>
          <w:rStyle w:val="OperatorTok"/>
        </w:rPr>
        <w:t xml:space="preserve">--</w:t>
      </w:r>
      <w:r>
        <w:rPr>
          <w:rStyle w:val="NormalTok"/>
        </w:rPr>
        <w:t xml:space="preserve">name </w:t>
      </w:r>
      <w:r>
        <w:rPr>
          <w:rStyle w:val="StringTok"/>
        </w:rPr>
        <w:t xml:space="preserve">'Synthetic Notes'</w:t>
      </w:r>
      <w:r>
        <w:rPr>
          <w:rStyle w:val="NormalTok"/>
        </w:rPr>
        <w:t xml:space="preserve"> </w:t>
      </w:r>
      <w:r>
        <w:rPr>
          <w:rStyle w:val="OperatorTok"/>
        </w:rPr>
        <w:t xml:space="preserve">--</w:t>
      </w:r>
      <w:r>
        <w:rPr>
          <w:rStyle w:val="NormalTok"/>
        </w:rPr>
        <w:t xml:space="preserve">description </w:t>
      </w:r>
      <w:r>
        <w:rPr>
          <w:rStyle w:val="StringTok"/>
        </w:rPr>
        <w:t xml:space="preserve">'Synthetic scaffold exercise'</w:t>
      </w:r>
      <w:r>
        <w:rPr>
          <w:rStyle w:val="NormalTok"/>
        </w:rPr>
        <w:t xml:space="preserve"> `</w:t>
      </w:r>
      <w:r>
        <w:br/>
      </w:r>
      <w:r>
        <w:rPr>
          <w:rStyle w:val="NormalTok"/>
        </w:rPr>
        <w:t xml:space="preserve">  </w:t>
      </w:r>
      <w:r>
        <w:rPr>
          <w:rStyle w:val="OperatorTok"/>
        </w:rPr>
        <w:t xml:space="preserve">--</w:t>
      </w:r>
      <w:r>
        <w:rPr>
          <w:rStyle w:val="NormalTok"/>
        </w:rPr>
        <w:t xml:space="preserve">target </w:t>
      </w:r>
      <w:r>
        <w:rPr>
          <w:rStyle w:val="StringTok"/>
        </w:rPr>
        <w:t xml:space="preserve">'C:\TownlightSynthetic'</w:t>
      </w:r>
      <w:r>
        <w:rPr>
          <w:rStyle w:val="NormalTok"/>
        </w:rPr>
        <w:t xml:space="preserve"> </w:t>
      </w:r>
      <w:r>
        <w:rPr>
          <w:rStyle w:val="OperatorTok"/>
        </w:rPr>
        <w:t xml:space="preserve">--</w:t>
      </w:r>
      <w:r>
        <w:rPr>
          <w:rStyle w:val="NormalTok"/>
        </w:rPr>
        <w:t xml:space="preserve">dry-run</w:t>
      </w:r>
    </w:p>
    <w:p>
      <w:pPr>
        <w:pStyle w:val="FirstParagraph"/>
      </w:pPr>
      <w:r>
        <w:t xml:space="preserve">Here</w:t>
      </w:r>
      <w:r>
        <w:t xml:space="preserve"> </w:t>
      </w:r>
      <w:r>
        <w:rPr>
          <w:rStyle w:val="VerbatimChar"/>
        </w:rPr>
        <w:t xml:space="preserve">$control</w:t>
      </w:r>
      <w:r>
        <w:t xml:space="preserve"> </w:t>
      </w:r>
      <w:r>
        <w:t xml:space="preserve">is the Python executable in that isolated developer environment. Inspect the plan and files, then remove</w:t>
      </w:r>
      <w:r>
        <w:t xml:space="preserve"> </w:t>
      </w:r>
      <w:r>
        <w:rPr>
          <w:rStyle w:val="VerbatimChar"/>
        </w:rPr>
        <w:t xml:space="preserve">--dry-run</w:t>
      </w:r>
      <w:r>
        <w:t xml:space="preserve"> </w:t>
      </w:r>
      <w:r>
        <w:t xml:space="preserve">only when that exact target is approved for generation. Existing files are refused, not silently overwritten. Exit 0 indicates success; refusal exits 2. Options include</w:t>
      </w:r>
      <w:r>
        <w:t xml:space="preserve"> </w:t>
      </w:r>
      <w:r>
        <w:rPr>
          <w:rStyle w:val="VerbatimChar"/>
        </w:rPr>
        <w:t xml:space="preserve">--version</w:t>
      </w:r>
      <w:r>
        <w:t xml:space="preserve">,</w:t>
      </w:r>
      <w:r>
        <w:t xml:space="preserve"> </w:t>
      </w:r>
      <w:r>
        <w:rPr>
          <w:rStyle w:val="VerbatimChar"/>
        </w:rPr>
        <w:t xml:space="preserve">--civiccore-min-version</w:t>
      </w:r>
      <w:r>
        <w:t xml:space="preserve">,</w:t>
      </w:r>
      <w:r>
        <w:t xml:space="preserve"> </w:t>
      </w:r>
      <w:r>
        <w:rPr>
          <w:rStyle w:val="VerbatimChar"/>
        </w:rPr>
        <w:t xml:space="preserve">--permission-key</w:t>
      </w:r>
      <w:r>
        <w:t xml:space="preserve">, repeated</w:t>
      </w:r>
      <w:r>
        <w:t xml:space="preserve"> </w:t>
      </w:r>
      <w:r>
        <w:rPr>
          <w:rStyle w:val="VerbatimChar"/>
        </w:rPr>
        <w:t xml:space="preserve">--staff-role</w:t>
      </w:r>
      <w:r>
        <w:t xml:space="preserve"> </w:t>
      </w:r>
      <w:r>
        <w:t xml:space="preserve">and</w:t>
      </w:r>
      <w:r>
        <w:t xml:space="preserve"> </w:t>
      </w:r>
      <w:r>
        <w:rPr>
          <w:rStyle w:val="VerbatimChar"/>
        </w:rPr>
        <w:t xml:space="preserve">--route-path</w:t>
      </w:r>
      <w:r>
        <w:t xml:space="preserve">; inspect</w:t>
      </w:r>
      <w:r>
        <w:t xml:space="preserve"> </w:t>
      </w:r>
      <w:r>
        <w:rPr>
          <w:rStyle w:val="VerbatimChar"/>
        </w:rPr>
        <w:t xml:space="preserve">--help</w:t>
      </w:r>
      <w:r>
        <w:t xml:space="preserve"> </w:t>
      </w:r>
      <w:r>
        <w:t xml:space="preserve">for the exact invocation. Keep generated access requirements and migration stubs under the new module’s own review. No automatic product deployment follows generation.</w:t>
      </w:r>
    </w:p>
    <w:p>
      <w:pPr>
        <w:pStyle w:val="BodyText"/>
      </w:pPr>
      <w:r>
        <w:t xml:space="preserve">Source contracts:</w:t>
      </w:r>
      <w:r>
        <w:t xml:space="preserve"> </w:t>
      </w:r>
      <w:r>
        <w:rPr>
          <w:rStyle w:val="VerbatimChar"/>
        </w:rPr>
        <w:t xml:space="preserve">civiccore/catalog/__init__.py</w:t>
      </w:r>
      <w:r>
        <w:t xml:space="preserve">,</w:t>
      </w:r>
      <w:r>
        <w:t xml:space="preserve"> </w:t>
      </w:r>
      <w:r>
        <w:rPr>
          <w:rStyle w:val="VerbatimChar"/>
        </w:rPr>
        <w:t xml:space="preserve">civiccore/exemptions/__init__.py</w:t>
      </w:r>
      <w:r>
        <w:t xml:space="preserve">,</w:t>
      </w:r>
      <w:r>
        <w:t xml:space="preserve"> </w:t>
      </w:r>
      <w:r>
        <w:rPr>
          <w:rStyle w:val="VerbatimChar"/>
        </w:rPr>
        <w:t xml:space="preserve">civiccore/scaffold/cli.py</w:t>
      </w:r>
      <w:r>
        <w:t xml:space="preserve">,</w:t>
      </w:r>
      <w:r>
        <w:t xml:space="preserve"> </w:t>
      </w:r>
      <w:r>
        <w:rPr>
          <w:rStyle w:val="VerbatimChar"/>
        </w:rPr>
        <w:t xml:space="preserve">project.py</w:t>
      </w:r>
      <w:r>
        <w:t xml:space="preserve">, and the Records catalog facade.</w:t>
      </w:r>
    </w:p>
    <w:bookmarkEnd w:id="40"/>
    <w:bookmarkEnd w:id="41"/>
    <w:bookmarkStart w:id="47" w:name="technical-specifications"/>
    <w:p>
      <w:pPr>
        <w:pStyle w:val="Heading1"/>
      </w:pPr>
      <w:r>
        <w:t xml:space="preserve">Technical specifications</w:t>
      </w:r>
    </w:p>
    <w:bookmarkStart w:id="42"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2"/>
    <w:bookmarkStart w:id="43" w:name="data-and-consistency"/>
    <w:p>
      <w:pPr>
        <w:pStyle w:val="Heading2"/>
      </w:pPr>
      <w:r>
        <w:t xml:space="preserve">Data and consistency</w:t>
      </w:r>
    </w:p>
    <w:p>
      <w:pPr>
        <w:pStyle w:val="FirstParagraph"/>
      </w:pPr>
      <w:r>
        <w:t xml:space="preserve">Named local accounts; native sessions; source and department authority; task receipts; profile configuration; coherent backup manifests; catalog, exemption and scaffold contracts.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3"/>
    <w:bookmarkStart w:id="46"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4">
        <w:r>
          <w:rPr>
            <w:rStyle w:val="Hyperlink"/>
          </w:rPr>
          <w:t xml:space="preserve">runtime payload lock</w:t>
        </w:r>
      </w:hyperlink>
      <w:r>
        <w:t xml:space="preserve"> </w:t>
      </w:r>
      <w:r>
        <w:t xml:space="preserve">records pinned files, sizes and hashes. The</w:t>
      </w:r>
      <w:r>
        <w:t xml:space="preserve"> </w:t>
      </w:r>
      <w:hyperlink r:id="rId45">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6"/>
    <w:bookmarkEnd w:id="47"/>
    <w:bookmarkStart w:id="49" w:name="configuration-and-administration"/>
    <w:p>
      <w:pPr>
        <w:pStyle w:val="Heading1"/>
      </w:pPr>
      <w:r>
        <w:t xml:space="preserve">Configuration and administration</w:t>
      </w:r>
    </w:p>
    <w:bookmarkStart w:id="48"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8"/>
    <w:bookmarkEnd w:id="49"/>
    <w:bookmarkStart w:id="57" w:name="api-and-integration-examples"/>
    <w:p>
      <w:pPr>
        <w:pStyle w:val="Heading1"/>
      </w:pPr>
      <w:r>
        <w:t xml:space="preserve">API and integration examples</w:t>
      </w:r>
    </w:p>
    <w:bookmarkStart w:id="50"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'get_app_state'</w:t>
      </w:r>
      <w:r>
        <w:rPr>
          <w:rStyle w:val="OperatorTok"/>
        </w:rPr>
        <w:t xml:space="preserve">,</w:t>
      </w:r>
      <w:r>
        <w:rPr>
          <w:rStyle w:val="NormalTok"/>
        </w:rPr>
        <w:t xml:space="preserve"> {})</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50"/>
    <w:bookmarkStart w:id="51"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'http://127.0.0.1:15480/desktop/v1/suite/state'</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1"/>
    <w:bookmarkStart w:id="52"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2"/>
    <w:bookmarkStart w:id="56" w:name="complete-technical-contract"/>
    <w:p>
      <w:pPr>
        <w:pStyle w:val="Heading2"/>
      </w:pPr>
      <w:r>
        <w:t xml:space="preserve">Complete technical contract</w:t>
      </w:r>
    </w:p>
    <w:p>
      <w:pPr>
        <w:pStyle w:val="FirstParagraph"/>
      </w:pPr>
      <w:r>
        <w:t xml:space="preserve">Read the</w:t>
      </w:r>
      <w:r>
        <w:t xml:space="preserve"> </w:t>
      </w:r>
      <w:hyperlink r:id="rId53">
        <w:r>
          <w:rPr>
            <w:rStyle w:val="Hyperlink"/>
          </w:rPr>
          <w:t xml:space="preserve">Core API reference</w:t>
        </w:r>
      </w:hyperlink>
      <w:r>
        <w:t xml:space="preserve"> </w:t>
      </w:r>
      <w:r>
        <w:t xml:space="preserve">for every documented operation, request field, constraint, response declaration and source supplement. Download the</w:t>
      </w:r>
      <w:r>
        <w:t xml:space="preserve"> </w:t>
      </w:r>
      <w:hyperlink r:id="rId54">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5">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6"/>
    <w:bookmarkEnd w:id="57"/>
    <w:bookmarkStart w:id="59"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58">
        <w:r>
          <w:rPr>
            <w:rStyle w:val="Hyperlink"/>
          </w:rPr>
          <w:t xml:space="preserve">MCP source reference</w:t>
        </w:r>
      </w:hyperlink>
      <w:r>
        <w:t xml:space="preserve">. Station meeting capture does not become live speech recognition because this optional donor adapter exists.</w:t>
      </w:r>
    </w:p>
    <w:bookmarkEnd w:id="59"/>
    <w:bookmarkStart w:id="60"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0"/>
    <w:bookmarkStart w:id="61"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1"/>
    <w:bookmarkStart w:id="62"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2"/>
    <w:bookmarkStart w:id="65"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Core</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Normal empty-profile setup; canonical activation; UI-created staff and sign-in; staff denied user administration; coherent backup, mutation, restore, Start/Check and retained/absent record readback.</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3">
        <w:r>
          <w:rPr>
            <w:rStyle w:val="Hyperlink"/>
          </w:rPr>
          <w:t xml:space="preserve">workflow matrix</w:t>
        </w:r>
      </w:hyperlink>
      <w:r>
        <w:t xml:space="preserve"> </w:t>
      </w:r>
      <w:r>
        <w:t xml:space="preserve">identifies raw receipt filenames. The</w:t>
      </w:r>
      <w:r>
        <w:t xml:space="preserve"> </w:t>
      </w:r>
      <w:hyperlink r:id="rId64">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5"/>
    <w:bookmarkStart w:id="77" w:name="terms-of-service-and-license"/>
    <w:p>
      <w:pPr>
        <w:pStyle w:val="Heading1"/>
      </w:pPr>
      <w:r>
        <w:t xml:space="preserve">Terms of service and license</w:t>
      </w:r>
    </w:p>
    <w:bookmarkStart w:id="66"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6"/>
    <w:bookmarkStart w:id="69"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7">
        <w:r>
          <w:rPr>
            <w:rStyle w:val="Hyperlink"/>
          </w:rPr>
          <w:t xml:space="preserve">GNU license reference</w:t>
        </w:r>
      </w:hyperlink>
      <w:r>
        <w:t xml:space="preserve"> </w:t>
      </w:r>
      <w:r>
        <w:t xml:space="preserve">and</w:t>
      </w:r>
      <w:r>
        <w:t xml:space="preserve"> </w:t>
      </w:r>
      <w:hyperlink r:id="rId68">
        <w:r>
          <w:rPr>
            <w:rStyle w:val="Hyperlink"/>
          </w:rPr>
          <w:t xml:space="preserve">GNU licensing FAQ</w:t>
        </w:r>
      </w:hyperlink>
      <w:r>
        <w:t xml:space="preserve">.</w:t>
      </w:r>
    </w:p>
    <w:bookmarkEnd w:id="69"/>
    <w:bookmarkStart w:id="70"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0"/>
    <w:bookmarkStart w:id="71"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1"/>
    <w:bookmarkStart w:id="72"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2"/>
    <w:bookmarkStart w:id="73"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3"/>
    <w:bookmarkStart w:id="74"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4"/>
    <w:bookmarkStart w:id="75"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5"/>
    <w:bookmarkStart w:id="76"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6"/>
    <w:bookmarkEnd w:id="77"/>
    <w:bookmarkStart w:id="78"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78"/>
    <w:bookmarkStart w:id="80" w:name="alphabetical-subject-index"/>
    <w:p>
      <w:pPr>
        <w:pStyle w:val="Heading1"/>
      </w:pPr>
      <w:r>
        <w:t xml:space="preserve">Alphabetical subject index</w:t>
      </w:r>
    </w:p>
    <w:p>
      <w:pPr>
        <w:pStyle w:val="Compact"/>
        <w:numPr>
          <w:ilvl w:val="0"/>
          <w:numId w:val="1003"/>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3"/>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3"/>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3"/>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3"/>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3"/>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3"/>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3"/>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3"/>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3"/>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79" w:name="operating-subject-links"/>
    <w:p>
      <w:pPr>
        <w:pStyle w:val="Heading2"/>
      </w:pPr>
      <w:r>
        <w:t xml:space="preserve">Operating subject links</w:t>
      </w:r>
    </w:p>
    <w:p>
      <w:pPr>
        <w:pStyle w:val="Compact"/>
        <w:numPr>
          <w:ilvl w:val="0"/>
          <w:numId w:val="1004"/>
        </w:numPr>
      </w:pPr>
      <w:r>
        <w:rPr>
          <w:b/>
          <w:bCs/>
        </w:rPr>
        <w:t xml:space="preserve">Catalog import and readback</w:t>
      </w:r>
      <w:r>
        <w:t xml:space="preserve"> </w:t>
      </w:r>
      <w:r>
        <w:t xml:space="preserve">—</w:t>
      </w:r>
      <w:r>
        <w:t xml:space="preserve"> </w:t>
      </w:r>
      <w:hyperlink w:anchor="catalog-import-and-readback">
        <w:r>
          <w:rPr>
            <w:rStyle w:val="Hyperlink"/>
          </w:rPr>
          <w:t xml:space="preserve">Catalog import and readback</w:t>
        </w:r>
      </w:hyperlink>
      <w:r>
        <w:t xml:space="preserve">.</w:t>
      </w:r>
    </w:p>
    <w:p>
      <w:pPr>
        <w:pStyle w:val="Compact"/>
        <w:numPr>
          <w:ilvl w:val="0"/>
          <w:numId w:val="1004"/>
        </w:numPr>
      </w:pPr>
      <w:r>
        <w:rPr>
          <w:b/>
          <w:bCs/>
        </w:rPr>
        <w:t xml:space="preserve">Jurisdictional rule evaluation and review</w:t>
      </w:r>
      <w:r>
        <w:t xml:space="preserve"> </w:t>
      </w:r>
      <w:r>
        <w:t xml:space="preserve">—</w:t>
      </w:r>
      <w:r>
        <w:t xml:space="preserve"> </w:t>
      </w:r>
      <w:hyperlink w:anchor="Xa814f86ec8208751e9b604b07b2ed51bdcf5064">
        <w:r>
          <w:rPr>
            <w:rStyle w:val="Hyperlink"/>
          </w:rPr>
          <w:t xml:space="preserve">Jurisdictional rule evaluation and review</w:t>
        </w:r>
      </w:hyperlink>
      <w:r>
        <w:t xml:space="preserve">.</w:t>
      </w:r>
    </w:p>
    <w:p>
      <w:pPr>
        <w:pStyle w:val="Compact"/>
        <w:numPr>
          <w:ilvl w:val="0"/>
          <w:numId w:val="1004"/>
        </w:numPr>
      </w:pPr>
      <w:r>
        <w:rPr>
          <w:b/>
          <w:bCs/>
        </w:rPr>
        <w:t xml:space="preserve">Scaffold plan and generate</w:t>
      </w:r>
      <w:r>
        <w:t xml:space="preserve"> </w:t>
      </w:r>
      <w:r>
        <w:t xml:space="preserve">—</w:t>
      </w:r>
      <w:r>
        <w:t xml:space="preserve"> </w:t>
      </w:r>
      <w:hyperlink w:anchor="scaffold-plan-and-generate">
        <w:r>
          <w:rPr>
            <w:rStyle w:val="Hyperlink"/>
          </w:rPr>
          <w:t xml:space="preserve">Scaffold plan and generate</w:t>
        </w:r>
      </w:hyperlink>
      <w:r>
        <w:t xml:space="preserve">.</w:t>
      </w:r>
    </w:p>
    <w:p>
      <w:pPr>
        <w:pStyle w:val="Compact"/>
        <w:numPr>
          <w:ilvl w:val="0"/>
          <w:numId w:val="1004"/>
        </w:numPr>
      </w:pPr>
      <w:r>
        <w:rPr>
          <w:b/>
          <w:bCs/>
        </w:rPr>
        <w:t xml:space="preserve">Shared catalog rules and scaffolding</w:t>
      </w:r>
      <w:r>
        <w:t xml:space="preserve"> </w:t>
      </w:r>
      <w:r>
        <w:t xml:space="preserve">—</w:t>
      </w:r>
      <w:r>
        <w:t xml:space="preserve"> </w:t>
      </w:r>
      <w:hyperlink w:anchor="shared-catalog-rules-and-scaffolding">
        <w:r>
          <w:rPr>
            <w:rStyle w:val="Hyperlink"/>
          </w:rPr>
          <w:t xml:space="preserve">Shared catalog rules and scaffolding</w:t>
        </w:r>
      </w:hyperlink>
      <w:r>
        <w:t xml:space="preserve">.</w:t>
      </w:r>
    </w:p>
    <w:bookmarkEnd w:id="79"/>
    <w:bookmarkEnd w:id="80"/>
    <w:bookmarkStart w:id="85"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4" w:name="workflow-subject-index"/>
    <w:p>
      <w:pPr>
        <w:pStyle w:val="Heading2"/>
      </w:pPr>
      <w:r>
        <w:t xml:space="preserve">Workflow subject index</w:t>
      </w:r>
    </w:p>
    <w:p>
      <w:pPr>
        <w:numPr>
          <w:ilvl w:val="0"/>
          <w:numId w:val="1005"/>
        </w:numPr>
      </w:pPr>
      <w:r>
        <w:rPr>
          <w:b/>
          <w:bCs/>
        </w:rPr>
        <w:t xml:space="preserve">Activate the runtime</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5"/>
        </w:numPr>
      </w:pPr>
      <w:r>
        <w:rPr>
          <w:b/>
          <w:bCs/>
        </w:rPr>
        <w:t xml:space="preserve">Collect diagnostics</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5"/>
        </w:numPr>
      </w:pPr>
      <w:r>
        <w:rPr>
          <w:b/>
          <w:bCs/>
        </w:rPr>
        <w:t xml:space="preserve">Complete setup</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5"/>
        </w:numPr>
      </w:pPr>
      <w:r>
        <w:rPr>
          <w:b/>
          <w:bCs/>
        </w:rPr>
        <w:t xml:space="preserve">Create staff access</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5"/>
        </w:numPr>
      </w:pPr>
      <w:r>
        <w:rPr>
          <w:b/>
          <w:bCs/>
        </w:rPr>
        <w:t xml:space="preserve">Import through the right product</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5"/>
        </w:numPr>
      </w:pPr>
      <w:r>
        <w:rPr>
          <w:b/>
          <w:bCs/>
        </w:rPr>
        <w:t xml:space="preserve">Make a coherent backup</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5"/>
        </w:numPr>
      </w:pPr>
      <w:r>
        <w:rPr>
          <w:b/>
          <w:bCs/>
        </w:rPr>
        <w:t xml:space="preserve">Restore and verify</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5"/>
        </w:numPr>
      </w:pPr>
      <w:hyperlink r:id="rId81">
        <w:r>
          <w:rPr>
            <w:rStyle w:val="Hyperlink"/>
          </w:rPr>
          <w:t xml:space="preserve">Source inventory and file hashes</w:t>
        </w:r>
      </w:hyperlink>
    </w:p>
    <w:p>
      <w:pPr>
        <w:numPr>
          <w:ilvl w:val="0"/>
          <w:numId w:val="1005"/>
        </w:numPr>
      </w:pPr>
      <w:hyperlink r:id="rId45">
        <w:r>
          <w:rPr>
            <w:rStyle w:val="Hyperlink"/>
          </w:rPr>
          <w:t xml:space="preserve">All component metadata</w:t>
        </w:r>
      </w:hyperlink>
    </w:p>
    <w:p>
      <w:pPr>
        <w:numPr>
          <w:ilvl w:val="0"/>
          <w:numId w:val="1005"/>
        </w:numPr>
      </w:pPr>
      <w:hyperlink r:id="rId82">
        <w:r>
          <w:rPr>
            <w:rStyle w:val="Hyperlink"/>
          </w:rPr>
          <w:t xml:space="preserve">Installed domain OpenAPI</w:t>
        </w:r>
      </w:hyperlink>
    </w:p>
    <w:p>
      <w:pPr>
        <w:numPr>
          <w:ilvl w:val="0"/>
          <w:numId w:val="1005"/>
        </w:numPr>
      </w:pPr>
      <w:hyperlink r:id="rId63">
        <w:r>
          <w:rPr>
            <w:rStyle w:val="Hyperlink"/>
          </w:rPr>
          <w:t xml:space="preserve">Workflow matrix</w:t>
        </w:r>
      </w:hyperlink>
    </w:p>
    <w:p>
      <w:pPr>
        <w:numPr>
          <w:ilvl w:val="0"/>
          <w:numId w:val="1005"/>
        </w:numPr>
      </w:pPr>
      <w:hyperlink r:id="rId83">
        <w:r>
          <w:rPr>
            <w:rStyle w:val="Hyperlink"/>
          </w:rPr>
          <w:t xml:space="preserve">Full AGPL text</w:t>
        </w:r>
      </w:hyperlink>
    </w:p>
    <w:bookmarkEnd w:id="84"/>
    <w:bookmarkEnd w:id="85"/>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4" Type="http://schemas.openxmlformats.org/officeDocument/2006/relationships/hyperlink" Target="docs/beta-1/api/core-openapi.json" TargetMode="External"/><Relationship Id="rId53" Type="http://schemas.openxmlformats.org/officeDocument/2006/relationships/hyperlink" Target="docs/beta-1/api/core.html" TargetMode="External"/><Relationship Id="rId83" Type="http://schemas.openxmlformats.org/officeDocument/2006/relationships/hyperlink" Target="docs/beta-1/reference/AGPL-3.0.txt" TargetMode="External"/><Relationship Id="rId45" Type="http://schemas.openxmlformats.org/officeDocument/2006/relationships/hyperlink" Target="docs/beta-1/reference/component-metadata.json" TargetMode="External"/><Relationship Id="rId82" Type="http://schemas.openxmlformats.org/officeDocument/2006/relationships/hyperlink" Target="docs/beta-1/reference/desktop-domain-openapi.json" TargetMode="External"/><Relationship Id="rId55" Type="http://schemas.openxmlformats.org/officeDocument/2006/relationships/hyperlink" Target="docs/beta-1/reference/index.html" TargetMode="External"/><Relationship Id="rId58" Type="http://schemas.openxmlformats.org/officeDocument/2006/relationships/hyperlink" Target="docs/beta-1/reference/mcp.html" TargetMode="External"/><Relationship Id="rId44" Type="http://schemas.openxmlformats.org/officeDocument/2006/relationships/hyperlink" Target="docs/beta-1/reference/runtime-payload-lock.json" TargetMode="External"/><Relationship Id="rId64" Type="http://schemas.openxmlformats.org/officeDocument/2006/relationships/hyperlink" Target="docs/beta-1/reference/sandbox-evidence-index.json" TargetMode="External"/><Relationship Id="rId81" Type="http://schemas.openxmlformats.org/officeDocument/2006/relationships/hyperlink" Target="docs/beta-1/reference/source-inventory.json" TargetMode="External"/><Relationship Id="rId63" Type="http://schemas.openxmlformats.org/officeDocument/2006/relationships/hyperlink" Target="docs/beta-1/reference/workflow-matrix.json" TargetMode="External"/><Relationship Id="rId67" Type="http://schemas.openxmlformats.org/officeDocument/2006/relationships/hyperlink" Target="https://www.gnu.org/licenses/agpl-3.0.html" TargetMode="External"/><Relationship Id="rId68"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4" Type="http://schemas.openxmlformats.org/officeDocument/2006/relationships/hyperlink" Target="docs/beta-1/api/core-openapi.json" TargetMode="External"/><Relationship Id="rId53" Type="http://schemas.openxmlformats.org/officeDocument/2006/relationships/hyperlink" Target="docs/beta-1/api/core.html" TargetMode="External"/><Relationship Id="rId83" Type="http://schemas.openxmlformats.org/officeDocument/2006/relationships/hyperlink" Target="docs/beta-1/reference/AGPL-3.0.txt" TargetMode="External"/><Relationship Id="rId45" Type="http://schemas.openxmlformats.org/officeDocument/2006/relationships/hyperlink" Target="docs/beta-1/reference/component-metadata.json" TargetMode="External"/><Relationship Id="rId82" Type="http://schemas.openxmlformats.org/officeDocument/2006/relationships/hyperlink" Target="docs/beta-1/reference/desktop-domain-openapi.json" TargetMode="External"/><Relationship Id="rId55" Type="http://schemas.openxmlformats.org/officeDocument/2006/relationships/hyperlink" Target="docs/beta-1/reference/index.html" TargetMode="External"/><Relationship Id="rId58" Type="http://schemas.openxmlformats.org/officeDocument/2006/relationships/hyperlink" Target="docs/beta-1/reference/mcp.html" TargetMode="External"/><Relationship Id="rId44" Type="http://schemas.openxmlformats.org/officeDocument/2006/relationships/hyperlink" Target="docs/beta-1/reference/runtime-payload-lock.json" TargetMode="External"/><Relationship Id="rId64" Type="http://schemas.openxmlformats.org/officeDocument/2006/relationships/hyperlink" Target="docs/beta-1/reference/sandbox-evidence-index.json" TargetMode="External"/><Relationship Id="rId81" Type="http://schemas.openxmlformats.org/officeDocument/2006/relationships/hyperlink" Target="docs/beta-1/reference/source-inventory.json" TargetMode="External"/><Relationship Id="rId63" Type="http://schemas.openxmlformats.org/officeDocument/2006/relationships/hyperlink" Target="docs/beta-1/reference/workflow-matrix.json" TargetMode="External"/><Relationship Id="rId67" Type="http://schemas.openxmlformats.org/officeDocument/2006/relationships/hyperlink" Target="https://www.gnu.org/licenses/agpl-3.0.html" TargetMode="External"/><Relationship Id="rId68"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Core Manual</dc:title>
  <dc:creator/>
  <cp:keywords/>
  <dcterms:created xsi:type="dcterms:W3CDTF">2026-10-30T16:19:15Z</dcterms:created>
  <dcterms:modified xsi:type="dcterms:W3CDTF">2026-10-30T16:19:15Z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