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Inspections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96df1149949adef27ec03948519fad9c9f5b881">
        <w:r>
          <w:rPr>
            <w:rStyle w:val="Hyperlink"/>
          </w:rPr>
          <w:t xml:space="preserve">Evidence limits outlines and previous cases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Inspections helps inspectors and authorized reviewing staff. Inspections retains original evidence, supplied observations and optional configured photo/audio analysis, then supports reviewed case workpapers and a separate Records copy. Automatic output is a draft for inspector review.</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civicinspect 0.3.0+dev.1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Create the case</w:t>
      </w:r>
    </w:p>
    <w:p>
      <w:pPr>
        <w:pStyle w:val="FirstParagraph"/>
      </w:pPr>
      <w:r>
        <w:t xml:space="preserve">Enter the property/case context and inspector observations. Keep staff-only notes and identifiers in their intended fields. Save before moving away from the workspace.</w:t>
      </w:r>
    </w:p>
    <w:bookmarkEnd w:id="23"/>
    <w:bookmarkStart w:id="24" w:name="workflow-2"/>
    <w:p>
      <w:pPr>
        <w:pStyle w:val="Heading2"/>
      </w:pPr>
      <w:r>
        <w:t xml:space="preserve">2 Retain originals</w:t>
      </w:r>
    </w:p>
    <w:p>
      <w:pPr>
        <w:pStyle w:val="FirstParagraph"/>
      </w:pPr>
      <w:r>
        <w:t xml:space="preserve">Add original supported files using the existing evidence control. Inspect the filename, size and retained hash. Preserve originals separately from any derivative draft.</w:t>
      </w:r>
    </w:p>
    <w:bookmarkEnd w:id="24"/>
    <w:bookmarkStart w:id="25" w:name="workflow-3"/>
    <w:p>
      <w:pPr>
        <w:pStyle w:val="Heading2"/>
      </w:pPr>
      <w:r>
        <w:t xml:space="preserve">3 Choose supplied or automatic text</w:t>
      </w:r>
    </w:p>
    <w:p>
      <w:pPr>
        <w:pStyle w:val="FirstParagraph"/>
      </w:pPr>
      <w:r>
        <w:t xml:space="preserve">Use supplied photo observations and a supplied voice summary for deterministic work. If configured, Analyse originals calls the image-capable provider and bundled audio transcriber. Read unavailable/failed results as such; do not label supplied text automatic.</w:t>
      </w:r>
    </w:p>
    <w:bookmarkEnd w:id="25"/>
    <w:bookmarkStart w:id="26" w:name="workflow-4"/>
    <w:p>
      <w:pPr>
        <w:pStyle w:val="Heading2"/>
      </w:pPr>
      <w:r>
        <w:t xml:space="preserve">4 Review the analysis and citations</w:t>
      </w:r>
    </w:p>
    <w:p>
      <w:pPr>
        <w:pStyle w:val="FirstParagraph"/>
      </w:pPr>
      <w:r>
        <w:t xml:space="preserve">Compare automatic wording to the original evidence. Correct errors, uncertainty and Code citations. A model output is neither an official finding nor a notice.</w:t>
      </w:r>
    </w:p>
    <w:bookmarkEnd w:id="26"/>
    <w:bookmarkStart w:id="27" w:name="workflow-5"/>
    <w:p>
      <w:pPr>
        <w:pStyle w:val="Heading2"/>
      </w:pPr>
      <w:r>
        <w:t xml:space="preserve">5 Save and record review</w:t>
      </w:r>
    </w:p>
    <w:p>
      <w:pPr>
        <w:pStyle w:val="FirstParagraph"/>
      </w:pPr>
      <w:r>
        <w:t xml:space="preserve">Save the case and explicitly record inspector/staff review of that revision. Later edits create a draft requiring renewed review. Retain the case history.</w:t>
      </w:r>
    </w:p>
    <w:bookmarkEnd w:id="27"/>
    <w:bookmarkStart w:id="28" w:name="workflow-6"/>
    <w:p>
      <w:pPr>
        <w:pStyle w:val="Heading2"/>
      </w:pPr>
      <w:r>
        <w:t xml:space="preserve">6 Prepare the Records copy</w:t>
      </w:r>
    </w:p>
    <w:p>
      <w:pPr>
        <w:pStyle w:val="FirstParagraph"/>
      </w:pPr>
      <w:r>
        <w:t xml:space="preserve">Separately edit and review the public summary. Preview the Records copy and confirm that private observations, property/address detail and staff notes are excluded according to its contract.</w:t>
      </w:r>
    </w:p>
    <w:bookmarkEnd w:id="28"/>
    <w:bookmarkStart w:id="29" w:name="workflow-7"/>
    <w:p>
      <w:pPr>
        <w:pStyle w:val="Heading2"/>
      </w:pPr>
      <w:r>
        <w:t xml:space="preserve">7 Hand off exact bytes</w:t>
      </w:r>
    </w:p>
    <w:p>
      <w:pPr>
        <w:pStyle w:val="FirstParagraph"/>
      </w:pPr>
      <w:r>
        <w:t xml:space="preserve">Attach the reviewed copy to an existing Records request. Inspect its attachment/hash in Records. Attachment does not issue an enforcement action or approve a public-records response.</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Consumes cited Code and Core contracts; supplies a reviewed copy to Records. It does not imply an automatic permit-system or enforcement-system writeback.</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Inspector-supplied text, original supported photographs or audio, a configured image-capable provider when photo analysis is selected, and permitted Code authority.</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Retained evidence with provenance, editable automatic drafts where configured, reviewed cases and exact audience-specific packets.</w:t>
            </w:r>
          </w:p>
        </w:tc>
      </w:tr>
    </w:tbl>
    <w:bookmarkStart w:id="32" w:name="product-boundary"/>
    <w:p>
      <w:pPr>
        <w:pStyle w:val="Heading2"/>
      </w:pPr>
      <w:r>
        <w:t xml:space="preserve">Product boundary</w:t>
      </w:r>
    </w:p>
    <w:p>
      <w:pPr>
        <w:pStyle w:val="FirstParagraph"/>
      </w:pPr>
      <w:r>
        <w:t xml:space="preserve">The bundled Whistle CPU engine executes raw-audio transcription. Automatic photo analysis requires explicit vision configuration; missing configuration reports unavailable. Synthetic execution proves that adapters run, not field recognition accuracy. No official citation/fine issuance, inspection scheduling or enforcement-system writeback is provided.</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Inspections architecture" title="" id="35" name="Picture"/>
            <a:graphic>
              <a:graphicData uri="http://schemas.openxmlformats.org/drawingml/2006/picture">
                <pic:pic>
                  <pic:nvPicPr>
                    <pic:cNvPr descr="C:/Users/scott/Documents/Codex/2026-10-26/read-this-and-check-the-software/outputs/townlight-beta-1-documentation/site/assets/word/inspections-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Inspections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X96df1149949adef27ec03948519fad9c9f5b881"/>
    <w:p>
      <w:pPr>
        <w:pStyle w:val="Heading1"/>
      </w:pPr>
      <w:r>
        <w:t xml:space="preserve">Evidence limits outlines and previous cases</w:t>
      </w:r>
    </w:p>
    <w:bookmarkStart w:id="38" w:name="select-supported-original-files"/>
    <w:p>
      <w:pPr>
        <w:pStyle w:val="Heading2"/>
      </w:pPr>
      <w:r>
        <w:t xml:space="preserve">Select supported original files</w:t>
      </w:r>
    </w:p>
    <w:p>
      <w:pPr>
        <w:pStyle w:val="FirstParagraph"/>
      </w:pPr>
      <w:r>
        <w:t xml:space="preserve">The retained-original contract accepts the following MIME types, up to</w:t>
      </w:r>
      <w:r>
        <w:t xml:space="preserve"> </w:t>
      </w:r>
      <w:r>
        <w:rPr>
          <w:b/>
          <w:bCs/>
        </w:rPr>
        <w:t xml:space="preserve">10,000,000 bytes per original</w:t>
      </w:r>
      <w:r>
        <w:t xml:space="preserve">. This is a decimal byte limit, not 10 MiB. An unsupported type or oversized file is refused; preserve the original outside the import and choose a supported derivative deliberately rather than changing its filename to disguise the type.</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Material</w:t>
            </w:r>
          </w:p>
        </w:tc>
        <w:tc>
          <w:tcPr>
            <w:tcW w:type="dxa" w:w="7344"/>
            <w:tcMar>
              <w:top w:w="90" w:type="dxa"/>
              <w:left w:w="90" w:type="dxa"/>
              <w:bottom w:w="90" w:type="dxa"/>
              <w:right w:w="90" w:type="dxa"/>
            </w:tcMar>
            <w:shd w:fill="F1F6F5"/>
          </w:tcPr>
          <w:p>
            <w:pPr>
              <w:pStyle w:val="Compact"/>
            </w:pPr>
            <w:r>
              <w:rPr>
                <w:sz w:val="18"/>
              </w:rPr>
              <w:t xml:space="preserve">Accepted MIME types</w:t>
            </w:r>
          </w:p>
        </w:tc>
      </w:tr>
      <w:tr>
        <w:tc>
          <w:tcPr>
            <w:tcW w:type="dxa" w:w="2880"/>
            <w:tcMar>
              <w:top w:w="90" w:type="dxa"/>
              <w:left w:w="90" w:type="dxa"/>
              <w:bottom w:w="90" w:type="dxa"/>
              <w:right w:w="90" w:type="dxa"/>
            </w:tcMar>
          </w:tcPr>
          <w:p>
            <w:pPr>
              <w:pStyle w:val="Compact"/>
            </w:pPr>
            <w:r>
              <w:rPr>
                <w:sz w:val="18"/>
              </w:rPr>
              <w:t xml:space="preserve">Photographs</w:t>
            </w:r>
          </w:p>
        </w:tc>
        <w:tc>
          <w:tcPr>
            <w:tcW w:type="dxa" w:w="7344"/>
            <w:tcMar>
              <w:top w:w="90" w:type="dxa"/>
              <w:left w:w="90" w:type="dxa"/>
              <w:bottom w:w="90" w:type="dxa"/>
              <w:right w:w="90" w:type="dxa"/>
            </w:tcMar>
          </w:tcPr>
          <w:p>
            <w:pPr>
              <w:pStyle w:val="Compact"/>
            </w:pPr>
            <w:r>
              <w:rPr>
                <w:rStyle w:val="VerbatimChar"/>
                <w:sz w:val="18"/>
              </w:rPr>
              <w:t xml:space="preserve">image/jpeg</w:t>
            </w:r>
            <w:r>
              <w:rPr>
                <w:sz w:val="18"/>
              </w:rPr>
              <w:t xml:space="preserve">,</w:t>
            </w:r>
            <w:r>
              <w:rPr>
                <w:sz w:val="18"/>
              </w:rPr>
              <w:t xml:space="preserve"> </w:t>
            </w:r>
            <w:r>
              <w:rPr>
                <w:rStyle w:val="VerbatimChar"/>
                <w:sz w:val="18"/>
              </w:rPr>
              <w:t xml:space="preserve">image/png</w:t>
            </w:r>
            <w:r>
              <w:rPr>
                <w:sz w:val="18"/>
              </w:rPr>
              <w:t xml:space="preserve">,</w:t>
            </w:r>
            <w:r>
              <w:rPr>
                <w:sz w:val="18"/>
              </w:rPr>
              <w:t xml:space="preserve"> </w:t>
            </w:r>
            <w:r>
              <w:rPr>
                <w:rStyle w:val="VerbatimChar"/>
                <w:sz w:val="18"/>
              </w:rPr>
              <w:t xml:space="preserve">image/webp</w:t>
            </w:r>
          </w:p>
        </w:tc>
      </w:tr>
      <w:tr>
        <w:tc>
          <w:tcPr>
            <w:tcW w:type="dxa" w:w="2880"/>
            <w:tcMar>
              <w:top w:w="90" w:type="dxa"/>
              <w:left w:w="90" w:type="dxa"/>
              <w:bottom w:w="90" w:type="dxa"/>
              <w:right w:w="90" w:type="dxa"/>
            </w:tcMar>
          </w:tcPr>
          <w:p>
            <w:pPr>
              <w:pStyle w:val="Compact"/>
            </w:pPr>
            <w:r>
              <w:rPr>
                <w:sz w:val="18"/>
              </w:rPr>
              <w:t xml:space="preserve">Audio</w:t>
            </w:r>
          </w:p>
        </w:tc>
        <w:tc>
          <w:tcPr>
            <w:tcW w:type="dxa" w:w="7344"/>
            <w:tcMar>
              <w:top w:w="90" w:type="dxa"/>
              <w:left w:w="90" w:type="dxa"/>
              <w:bottom w:w="90" w:type="dxa"/>
              <w:right w:w="90" w:type="dxa"/>
            </w:tcMar>
          </w:tcPr>
          <w:p>
            <w:pPr>
              <w:pStyle w:val="Compact"/>
            </w:pPr>
            <w:r>
              <w:rPr>
                <w:rStyle w:val="VerbatimChar"/>
                <w:sz w:val="18"/>
              </w:rPr>
              <w:t xml:space="preserve">audio/webm</w:t>
            </w:r>
            <w:r>
              <w:rPr>
                <w:sz w:val="18"/>
              </w:rPr>
              <w:t xml:space="preserve">,</w:t>
            </w:r>
            <w:r>
              <w:rPr>
                <w:sz w:val="18"/>
              </w:rPr>
              <w:t xml:space="preserve"> </w:t>
            </w:r>
            <w:r>
              <w:rPr>
                <w:rStyle w:val="VerbatimChar"/>
                <w:sz w:val="18"/>
              </w:rPr>
              <w:t xml:space="preserve">audio/ogg</w:t>
            </w:r>
            <w:r>
              <w:rPr>
                <w:sz w:val="18"/>
              </w:rPr>
              <w:t xml:space="preserve">,</w:t>
            </w:r>
            <w:r>
              <w:rPr>
                <w:sz w:val="18"/>
              </w:rPr>
              <w:t xml:space="preserve"> </w:t>
            </w:r>
            <w:r>
              <w:rPr>
                <w:rStyle w:val="VerbatimChar"/>
                <w:sz w:val="18"/>
              </w:rPr>
              <w:t xml:space="preserve">audio/wav</w:t>
            </w:r>
            <w:r>
              <w:rPr>
                <w:sz w:val="18"/>
              </w:rPr>
              <w:t xml:space="preserve">,</w:t>
            </w:r>
            <w:r>
              <w:rPr>
                <w:sz w:val="18"/>
              </w:rPr>
              <w:t xml:space="preserve"> </w:t>
            </w:r>
            <w:r>
              <w:rPr>
                <w:rStyle w:val="VerbatimChar"/>
                <w:sz w:val="18"/>
              </w:rPr>
              <w:t xml:space="preserve">audio/mpeg</w:t>
            </w:r>
            <w:r>
              <w:rPr>
                <w:sz w:val="18"/>
              </w:rPr>
              <w:t xml:space="preserve">,</w:t>
            </w:r>
            <w:r>
              <w:rPr>
                <w:sz w:val="18"/>
              </w:rPr>
              <w:t xml:space="preserve"> </w:t>
            </w:r>
            <w:r>
              <w:rPr>
                <w:rStyle w:val="VerbatimChar"/>
                <w:sz w:val="18"/>
              </w:rPr>
              <w:t xml:space="preserve">audio/mp4</w:t>
            </w:r>
          </w:p>
        </w:tc>
      </w:tr>
      <w:tr>
        <w:tc>
          <w:tcPr>
            <w:tcW w:type="dxa" w:w="2880"/>
            <w:tcMar>
              <w:top w:w="90" w:type="dxa"/>
              <w:left w:w="90" w:type="dxa"/>
              <w:bottom w:w="90" w:type="dxa"/>
              <w:right w:w="90" w:type="dxa"/>
            </w:tcMar>
          </w:tcPr>
          <w:p>
            <w:pPr>
              <w:pStyle w:val="Compact"/>
            </w:pPr>
            <w:r>
              <w:rPr>
                <w:sz w:val="18"/>
              </w:rPr>
              <w:t xml:space="preserve">Plain text</w:t>
            </w:r>
          </w:p>
        </w:tc>
        <w:tc>
          <w:tcPr>
            <w:tcW w:type="dxa" w:w="7344"/>
            <w:tcMar>
              <w:top w:w="90" w:type="dxa"/>
              <w:left w:w="90" w:type="dxa"/>
              <w:bottom w:w="90" w:type="dxa"/>
              <w:right w:w="90" w:type="dxa"/>
            </w:tcMar>
          </w:tcPr>
          <w:p>
            <w:pPr>
              <w:pStyle w:val="Compact"/>
            </w:pPr>
            <w:r>
              <w:rPr>
                <w:rStyle w:val="VerbatimChar"/>
                <w:sz w:val="18"/>
              </w:rPr>
              <w:t xml:space="preserve">text/plain</w:t>
            </w:r>
          </w:p>
        </w:tc>
      </w:tr>
      <w:tr>
        <w:tc>
          <w:tcPr>
            <w:tcW w:type="dxa" w:w="2880"/>
            <w:tcMar>
              <w:top w:w="90" w:type="dxa"/>
              <w:left w:w="90" w:type="dxa"/>
              <w:bottom w:w="90" w:type="dxa"/>
              <w:right w:w="90" w:type="dxa"/>
            </w:tcMar>
          </w:tcPr>
          <w:p>
            <w:pPr>
              <w:pStyle w:val="Compact"/>
            </w:pPr>
            <w:r>
              <w:rPr>
                <w:sz w:val="18"/>
              </w:rPr>
              <w:t xml:space="preserve">Document</w:t>
            </w:r>
          </w:p>
        </w:tc>
        <w:tc>
          <w:tcPr>
            <w:tcW w:type="dxa" w:w="7344"/>
            <w:tcMar>
              <w:top w:w="90" w:type="dxa"/>
              <w:left w:w="90" w:type="dxa"/>
              <w:bottom w:w="90" w:type="dxa"/>
              <w:right w:w="90" w:type="dxa"/>
            </w:tcMar>
          </w:tcPr>
          <w:p>
            <w:pPr>
              <w:pStyle w:val="Compact"/>
            </w:pPr>
            <w:r>
              <w:rPr>
                <w:rStyle w:val="VerbatimChar"/>
                <w:sz w:val="18"/>
              </w:rPr>
              <w:t xml:space="preserve">application/pdf</w:t>
            </w:r>
          </w:p>
        </w:tc>
      </w:tr>
    </w:tbl>
    <w:p>
      <w:pPr>
        <w:pStyle w:val="BodyText"/>
      </w:pPr>
      <w:r>
        <w:t xml:space="preserve">The case input bounds evidence to ten items; the browser’s upload-body guard can be more restrictive when encoding/combining files. Read the actual refusal and reduce the selected batch rather than assuming the per-file limit guarantees the entire request will fit. Accepted retention of text/PDF does not promise photo analysis of that format. Configure an image-capable vision model for photographs. Whistle handles supported raw audio when provisioned; TextFlowKit is a separately configured alternative. Missing configuration is unavailable, not a fabricated successful analysis.</w:t>
      </w:r>
    </w:p>
    <w:p>
      <w:pPr>
        <w:pStyle w:val="BodyText"/>
      </w:pPr>
      <w:r>
        <w:t xml:space="preserve">Retain the original filename, MIME type, byte count and SHA256. Compare generated observations/transcript with the evidence, correct the draft and record review of the saved case revision. Supplied photo observations or a supplied voice summary must remain labeled supplied text.</w:t>
      </w:r>
    </w:p>
    <w:bookmarkEnd w:id="38"/>
    <w:bookmarkStart w:id="39" w:name="find-earlier-retained-cases"/>
    <w:p>
      <w:pPr>
        <w:pStyle w:val="Heading2"/>
      </w:pPr>
      <w:r>
        <w:t xml:space="preserve">Find earlier retained cases</w:t>
      </w:r>
    </w:p>
    <w:p>
      <w:pPr>
        <w:pStyle w:val="FirstParagraph"/>
      </w:pPr>
      <w:r>
        <w:t xml:space="preserve">Use the existing repeat-case lookup or authenticated</w:t>
      </w:r>
      <w:r>
        <w:t xml:space="preserve"> </w:t>
      </w:r>
      <w:r>
        <w:rPr>
          <w:rStyle w:val="VerbatimChar"/>
        </w:rPr>
        <w:t xml:space="preserve">POST /desktop/v1/inspections/repeat-cases</w:t>
      </w:r>
      <w:r>
        <w:t xml:space="preserve"> </w:t>
      </w:r>
      <w:r>
        <w:t xml:space="preserve">with:</w:t>
      </w:r>
    </w:p>
    <w:p>
      <w:pPr>
        <w:pStyle w:val="SourceCode"/>
      </w:pPr>
      <w:r>
        <w:rPr>
          <w:rStyle w:val="FunctionTok"/>
        </w:rPr>
        <w:t xml:space="preserve">{</w:t>
      </w:r>
      <w:r>
        <w:rPr>
          <w:rStyle w:val="DataTypeTok"/>
        </w:rPr>
        <w:t xml:space="preserve">"property_reference"</w:t>
      </w:r>
      <w:r>
        <w:rPr>
          <w:rStyle w:val="FunctionTok"/>
        </w:rPr>
        <w:t xml:space="preserve">:</w:t>
      </w:r>
      <w:r>
        <w:rPr>
          <w:rStyle w:val="StringTok"/>
        </w:rPr>
        <w:t xml:space="preserve">"Synthetic parcel A"</w:t>
      </w:r>
      <w:r>
        <w:rPr>
          <w:rStyle w:val="FunctionTok"/>
        </w:rPr>
        <w:t xml:space="preserve">}</w:t>
      </w:r>
    </w:p>
    <w:p>
      <w:pPr>
        <w:pStyle w:val="FirstParagraph"/>
      </w:pPr>
      <w:r>
        <w:t xml:space="preserve">Use the same property reference as the saved synthetic case. The mounted implementation matches the normalized property reference against saved case heads, verifies each revision hash and returns up to 50 entries with entity/revision identity, title and review state, plus</w:t>
      </w:r>
      <w:r>
        <w:t xml:space="preserve"> </w:t>
      </w:r>
      <w:r>
        <w:rPr>
          <w:rStyle w:val="VerbatimChar"/>
        </w:rPr>
        <w:t xml:space="preserve">sample_data: false</w:t>
      </w:r>
      <w:r>
        <w:t xml:space="preserve">. Empty results mean no matching retained cases in this store. This is separate from the lower-level</w:t>
      </w:r>
      <w:r>
        <w:t xml:space="preserve"> </w:t>
      </w:r>
      <w:r>
        <w:rPr>
          <w:rStyle w:val="VerbatimChar"/>
        </w:rPr>
        <w:t xml:space="preserve">civicinspect.case_lookup.lookup_repeat_cases</w:t>
      </w:r>
      <w:r>
        <w:t xml:space="preserve"> </w:t>
      </w:r>
      <w:r>
        <w:t xml:space="preserve">helper, which returns sample context and is not the mounted saved-case query. Neither route queries an external enforcement system. Keep any real prior case identity and facts separate from a model’s proposed narrative. No GIS capture or external enforcement-system connection is implied.</w:t>
      </w:r>
    </w:p>
    <w:bookmarkEnd w:id="39"/>
    <w:bookmarkStart w:id="40" w:name="prepare-an-outline-for-review"/>
    <w:p>
      <w:pPr>
        <w:pStyle w:val="Heading2"/>
      </w:pPr>
      <w:r>
        <w:t xml:space="preserve">Prepare an outline for review</w:t>
      </w:r>
    </w:p>
    <w:p>
      <w:pPr>
        <w:pStyle w:val="FirstParagraph"/>
      </w:pPr>
      <w:r>
        <w:t xml:space="preserve">The mounted</w:t>
      </w:r>
      <w:r>
        <w:t xml:space="preserve"> </w:t>
      </w:r>
      <w:r>
        <w:rPr>
          <w:rStyle w:val="VerbatimChar"/>
        </w:rPr>
        <w:t xml:space="preserve">POST /desktop/v1/inspections/notice-draft</w:t>
      </w:r>
      <w:r>
        <w:t xml:space="preserve"> </w:t>
      </w:r>
      <w:r>
        <w:t xml:space="preserve">accepts the same</w:t>
      </w:r>
      <w:r>
        <w:t xml:space="preserve"> </w:t>
      </w:r>
      <w:r>
        <w:rPr>
          <w:rStyle w:val="VerbatimChar"/>
        </w:rPr>
        <w:t xml:space="preserve">InspectionInput</w:t>
      </w:r>
      <w:r>
        <w:t xml:space="preserve"> </w:t>
      </w:r>
      <w:r>
        <w:t xml:space="preserve">shape as the saved workflow, not an arbitrary notice recipient or enforcement command. For example:</w:t>
      </w:r>
    </w:p>
    <w:p>
      <w:pPr>
        <w:pStyle w:val="SourceCode"/>
      </w:pPr>
      <w:r>
        <w:rPr>
          <w:rStyle w:val="FunctionTok"/>
        </w:rPr>
        <w:t xml:space="preserve">{</w:t>
      </w:r>
      <w:r>
        <w:rPr>
          <w:rStyle w:val="DataTypeTok"/>
        </w:rPr>
        <w:t xml:space="preserve">"title"</w:t>
      </w:r>
      <w:r>
        <w:rPr>
          <w:rStyle w:val="FunctionTok"/>
        </w:rPr>
        <w:t xml:space="preserve">:</w:t>
      </w:r>
      <w:r>
        <w:rPr>
          <w:rStyle w:val="StringTok"/>
        </w:rPr>
        <w:t xml:space="preserve">"Synthetic review"</w:t>
      </w:r>
      <w:r>
        <w:rPr>
          <w:rStyle w:val="FunctionTok"/>
        </w:rPr>
        <w:t xml:space="preserve">,</w:t>
      </w:r>
      <w:r>
        <w:rPr>
          <w:rStyle w:val="DataTypeTok"/>
        </w:rPr>
        <w:t xml:space="preserve">"property_reference"</w:t>
      </w:r>
      <w:r>
        <w:rPr>
          <w:rStyle w:val="FunctionTok"/>
        </w:rPr>
        <w:t xml:space="preserve">:</w:t>
      </w:r>
      <w:r>
        <w:rPr>
          <w:rStyle w:val="StringTok"/>
        </w:rPr>
        <w:t xml:space="preserve">"Synthetic parcel A"</w:t>
      </w:r>
      <w:r>
        <w:rPr>
          <w:rStyle w:val="FunctionTok"/>
        </w:rPr>
        <w:t xml:space="preserve">,</w:t>
      </w:r>
      <w:r>
        <w:rPr>
          <w:rStyle w:val="DataTypeTok"/>
        </w:rPr>
        <w:t xml:space="preserve">"inspection_reference"</w:t>
      </w:r>
      <w:r>
        <w:rPr>
          <w:rStyle w:val="FunctionTok"/>
        </w:rPr>
        <w:t xml:space="preserve">:</w:t>
      </w:r>
      <w:r>
        <w:rPr>
          <w:rStyle w:val="StringTok"/>
        </w:rPr>
        <w:t xml:space="preserve">"SYN-001"</w:t>
      </w:r>
      <w:r>
        <w:rPr>
          <w:rStyle w:val="FunctionTok"/>
        </w:rPr>
        <w:t xml:space="preserve">,</w:t>
      </w:r>
      <w:r>
        <w:rPr>
          <w:rStyle w:val="DataTypeTok"/>
        </w:rPr>
        <w:t xml:space="preserve">"dataset_kind"</w:t>
      </w:r>
      <w:r>
        <w:rPr>
          <w:rStyle w:val="FunctionTok"/>
        </w:rPr>
        <w:t xml:space="preserve">:</w:t>
      </w:r>
      <w:r>
        <w:rPr>
          <w:rStyle w:val="StringTok"/>
        </w:rPr>
        <w:t xml:space="preserve">"fictional"</w:t>
      </w:r>
      <w:r>
        <w:rPr>
          <w:rStyle w:val="FunctionTok"/>
        </w:rPr>
        <w:t xml:space="preserve">,</w:t>
      </w:r>
      <w:r>
        <w:rPr>
          <w:rStyle w:val="DataTypeTok"/>
        </w:rPr>
        <w:t xml:space="preserve">"inspector_notes"</w:t>
      </w:r>
      <w:r>
        <w:rPr>
          <w:rStyle w:val="FunctionTok"/>
        </w:rPr>
        <w:t xml:space="preserve">:</w:t>
      </w:r>
      <w:r>
        <w:rPr>
          <w:rStyle w:val="StringTok"/>
        </w:rPr>
        <w:t xml:space="preserve">"Synthetic loose panel observed"</w:t>
      </w:r>
      <w:r>
        <w:rPr>
          <w:rStyle w:val="FunctionTok"/>
        </w:rPr>
        <w:t xml:space="preserve">,</w:t>
      </w:r>
      <w:r>
        <w:rPr>
          <w:rStyle w:val="DataTypeTok"/>
        </w:rPr>
        <w:t xml:space="preserve">"photo_observations"</w:t>
      </w:r>
      <w:r>
        <w:rPr>
          <w:rStyle w:val="FunctionTok"/>
        </w:rPr>
        <w:t xml:space="preserve">:</w:t>
      </w:r>
      <w:r>
        <w:rPr>
          <w:rStyle w:val="OtherTok"/>
        </w:rPr>
        <w:t xml:space="preserve">[</w:t>
      </w:r>
      <w:r>
        <w:rPr>
          <w:rStyle w:val="StringTok"/>
        </w:rPr>
        <w:t xml:space="preserve">"Synthetic panel appears loose"</w:t>
      </w:r>
      <w:r>
        <w:rPr>
          <w:rStyle w:val="OtherTok"/>
        </w:rPr>
        <w:t xml:space="preserve">]</w:t>
      </w:r>
      <w:r>
        <w:rPr>
          <w:rStyle w:val="FunctionTok"/>
        </w:rPr>
        <w:t xml:space="preserve">,</w:t>
      </w:r>
      <w:r>
        <w:rPr>
          <w:rStyle w:val="DataTypeTok"/>
        </w:rPr>
        <w:t xml:space="preserve">"voice_notes"</w:t>
      </w:r>
      <w:r>
        <w:rPr>
          <w:rStyle w:val="FunctionTok"/>
        </w:rPr>
        <w:t xml:space="preserve">:</w:t>
      </w:r>
      <w:r>
        <w:rPr>
          <w:rStyle w:val="StringTok"/>
        </w:rPr>
        <w:t xml:space="preserve">"Inspector supplied summary"</w:t>
      </w:r>
      <w:r>
        <w:rPr>
          <w:rStyle w:val="FunctionTok"/>
        </w:rPr>
        <w:t xml:space="preserve">}</w:t>
      </w:r>
    </w:p>
    <w:p>
      <w:pPr>
        <w:pStyle w:val="FirstParagraph"/>
      </w:pPr>
      <w:r>
        <w:t xml:space="preserve">Inspect the returned draft/outline and its limitations. The lower-level</w:t>
      </w:r>
      <w:r>
        <w:t xml:space="preserve"> </w:t>
      </w:r>
      <w:r>
        <w:rPr>
          <w:rStyle w:val="VerbatimChar"/>
        </w:rPr>
        <w:t xml:space="preserve">civicinspect.notice_draft.draft_notice</w:t>
      </w:r>
      <w:r>
        <w:t xml:space="preserve"> </w:t>
      </w:r>
      <w:r>
        <w:t xml:space="preserve">takes case identity, property reference, violation type and supplied observations. This source helper supplies a reviewable outline; it does not issue a citation, serve notice, choose an official fine or make an enforcement determination. Where no native button exists, technical staff use the current authenticated API rather than an invented screen.</w:t>
      </w:r>
    </w:p>
    <w:p>
      <w:pPr>
        <w:pStyle w:val="BodyText"/>
      </w:pPr>
      <w:r>
        <w:t xml:space="preserve">Revise the saved case’s</w:t>
      </w:r>
      <w:r>
        <w:t xml:space="preserve"> </w:t>
      </w:r>
      <w:r>
        <w:rPr>
          <w:rStyle w:val="VerbatimChar"/>
        </w:rPr>
        <w:t xml:space="preserve">notice_draft</w:t>
      </w:r>
      <w:r>
        <w:t xml:space="preserve"> </w:t>
      </w:r>
      <w:r>
        <w:t xml:space="preserve">only after checking the actual evidence and applicable Code source. Save and record review again; a new revision does not inherit the previous review. The staff packet and separately reviewed Records copy retain their existing audience/exclusion rules. A drafted outline is neither a Records release nor proof that a notice was delivered.</w:t>
      </w:r>
    </w:p>
    <w:p>
      <w:pPr>
        <w:pStyle w:val="BodyText"/>
      </w:pPr>
      <w:r>
        <w:t xml:space="preserve">Source contracts:</w:t>
      </w:r>
      <w:r>
        <w:t xml:space="preserve"> </w:t>
      </w:r>
      <w:r>
        <w:rPr>
          <w:rStyle w:val="VerbatimChar"/>
        </w:rPr>
        <w:t xml:space="preserve">civicinspect/media_analysis.py</w:t>
      </w:r>
      <w:r>
        <w:t xml:space="preserve">,</w:t>
      </w:r>
      <w:r>
        <w:t xml:space="preserve"> </w:t>
      </w:r>
      <w:r>
        <w:rPr>
          <w:rStyle w:val="VerbatimChar"/>
        </w:rPr>
        <w:t xml:space="preserve">case_lookup.py</w:t>
      </w:r>
      <w:r>
        <w:t xml:space="preserve">,</w:t>
      </w:r>
      <w:r>
        <w:t xml:space="preserve"> </w:t>
      </w:r>
      <w:r>
        <w:rPr>
          <w:rStyle w:val="VerbatimChar"/>
        </w:rPr>
        <w:t xml:space="preserve">notice_draft.py</w:t>
      </w:r>
      <w:r>
        <w:t xml:space="preserve">, workflow models and</w:t>
      </w:r>
      <w:r>
        <w:t xml:space="preserve"> </w:t>
      </w:r>
      <w:r>
        <w:rPr>
          <w:rStyle w:val="VerbatimChar"/>
        </w:rPr>
        <w:t xml:space="preserve">civicsuite_runtime/inspections_bridge.py</w:t>
      </w:r>
      <w:r>
        <w:t xml:space="preserve">.</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Original evidence files and hashes; media analysis records; observations and voice summaries; Code citations; case revisions; review records; private packets and separately edited Records copies.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50"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Start w:id="49" w:name="optional-media-analysis-configuration"/>
    <w:p>
      <w:pPr>
        <w:pStyle w:val="Heading2"/>
      </w:pPr>
      <w:r>
        <w:t xml:space="preserve">Optional media analysis configuration</w:t>
      </w:r>
    </w:p>
    <w:p>
      <w:pPr>
        <w:pStyle w:val="FirstParagraph"/>
      </w:pPr>
      <w:r>
        <w:rPr>
          <w:rStyle w:val="VerbatimChar"/>
        </w:rPr>
        <w:t xml:space="preserve">CIVICINSPECT_VISION_PROVIDER</w:t>
      </w:r>
      <w:r>
        <w:t xml:space="preserve"> </w:t>
      </w:r>
      <w:r>
        <w:t xml:space="preserve">accepts</w:t>
      </w:r>
      <w:r>
        <w:t xml:space="preserve"> </w:t>
      </w:r>
      <w:r>
        <w:rPr>
          <w:rStyle w:val="VerbatimChar"/>
        </w:rPr>
        <w:t xml:space="preserve">ollama</w:t>
      </w:r>
      <w:r>
        <w:t xml:space="preserve">,</w:t>
      </w:r>
      <w:r>
        <w:t xml:space="preserve"> </w:t>
      </w:r>
      <w:r>
        <w:rPr>
          <w:rStyle w:val="VerbatimChar"/>
        </w:rPr>
        <w:t xml:space="preserve">openai</w:t>
      </w:r>
      <w:r>
        <w:t xml:space="preserve"> </w:t>
      </w:r>
      <w:r>
        <w:t xml:space="preserve">or</w:t>
      </w:r>
      <w:r>
        <w:t xml:space="preserve"> </w:t>
      </w:r>
      <w:r>
        <w:rPr>
          <w:rStyle w:val="VerbatimChar"/>
        </w:rPr>
        <w:t xml:space="preserve">anthropic</w:t>
      </w:r>
      <w:r>
        <w:t xml:space="preserve">. Select an actually image-capable model through</w:t>
      </w:r>
      <w:r>
        <w:t xml:space="preserve"> </w:t>
      </w:r>
      <w:r>
        <w:rPr>
          <w:rStyle w:val="VerbatimChar"/>
        </w:rPr>
        <w:t xml:space="preserve">CIVICINSPECT_VISION_MODEL</w:t>
      </w:r>
      <w:r>
        <w:t xml:space="preserve">; an Ollama endpoint may use</w:t>
      </w:r>
      <w:r>
        <w:t xml:space="preserve"> </w:t>
      </w:r>
      <w:r>
        <w:rPr>
          <w:rStyle w:val="VerbatimChar"/>
        </w:rPr>
        <w:t xml:space="preserve">CIVICINSPECT_VISION_BASE_URL</w:t>
      </w:r>
      <w:r>
        <w:t xml:space="preserve">.</w:t>
      </w:r>
      <w:r>
        <w:t xml:space="preserve"> </w:t>
      </w:r>
      <w:r>
        <w:rPr>
          <w:rStyle w:val="VerbatimChar"/>
        </w:rPr>
        <w:t xml:space="preserve">CIVICINSPECT_VISION_THINK</w:t>
      </w:r>
      <w:r>
        <w:t xml:space="preserve"> </w:t>
      </w:r>
      <w:r>
        <w:t xml:space="preserve">accepts true/false/low/medium/high where that configured adapter uses it. Keep provider credentials in protected deployment configuration, never in a source bundle. Missing vision configuration returns unavailable rather than invented observations.</w:t>
      </w:r>
    </w:p>
    <w:p>
      <w:pPr>
        <w:pStyle w:val="BodyText"/>
      </w:pPr>
      <w:r>
        <w:rPr>
          <w:rStyle w:val="VerbatimChar"/>
        </w:rPr>
        <w:t xml:space="preserve">CIVICINSPECT_TRANSCRIBER</w:t>
      </w:r>
      <w:r>
        <w:t xml:space="preserve"> </w:t>
      </w:r>
      <w:r>
        <w:t xml:space="preserve">selects</w:t>
      </w:r>
      <w:r>
        <w:t xml:space="preserve"> </w:t>
      </w:r>
      <w:r>
        <w:rPr>
          <w:rStyle w:val="VerbatimChar"/>
        </w:rPr>
        <w:t xml:space="preserve">whistle</w:t>
      </w:r>
      <w:r>
        <w:t xml:space="preserve"> </w:t>
      </w:r>
      <w:r>
        <w:t xml:space="preserve">or</w:t>
      </w:r>
      <w:r>
        <w:t xml:space="preserve"> </w:t>
      </w:r>
      <w:r>
        <w:rPr>
          <w:rStyle w:val="VerbatimChar"/>
        </w:rPr>
        <w:t xml:space="preserve">textflowkit</w:t>
      </w:r>
      <w:r>
        <w:t xml:space="preserve">; the installed candidate provisions the bundled Whistle CPU path. The owning transcriber assets and retained notices must stay with it. A provider result remains an editable draft with original evidence retained. The separate TextFlowKit MCP adapter is not an automatically enabled Townlight server.</w:t>
      </w:r>
    </w:p>
    <w:bookmarkEnd w:id="49"/>
    <w:bookmarkEnd w:id="50"/>
    <w:bookmarkStart w:id="58" w:name="api-and-integration-examples"/>
    <w:p>
      <w:pPr>
        <w:pStyle w:val="Heading1"/>
      </w:pPr>
      <w:r>
        <w:t xml:space="preserve">API and integration examples</w:t>
      </w:r>
    </w:p>
    <w:bookmarkStart w:id="51"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'inspections_domain_request'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'cases'</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1"/>
    <w:bookmarkStart w:id="52"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'http://127.0.0.1:15480/desktop/v1/inspections/evidence/supported-types'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2"/>
    <w:bookmarkStart w:id="53"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3"/>
    <w:bookmarkStart w:id="57" w:name="complete-technical-contract"/>
    <w:p>
      <w:pPr>
        <w:pStyle w:val="Heading2"/>
      </w:pPr>
      <w:r>
        <w:t xml:space="preserve">Complete technical contract</w:t>
      </w:r>
    </w:p>
    <w:p>
      <w:pPr>
        <w:pStyle w:val="FirstParagraph"/>
      </w:pPr>
      <w:r>
        <w:t xml:space="preserve">Read the</w:t>
      </w:r>
      <w:r>
        <w:t xml:space="preserve"> </w:t>
      </w:r>
      <w:hyperlink r:id="rId54">
        <w:r>
          <w:rPr>
            <w:rStyle w:val="Hyperlink"/>
          </w:rPr>
          <w:t xml:space="preserve">Inspections API reference</w:t>
        </w:r>
      </w:hyperlink>
      <w:r>
        <w:t xml:space="preserve"> </w:t>
      </w:r>
      <w:r>
        <w:t xml:space="preserve">for every documented operation, request field, constraint, response declaration and source supplement. Download the</w:t>
      </w:r>
      <w:r>
        <w:t xml:space="preserve"> </w:t>
      </w:r>
      <w:hyperlink r:id="rId55">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6">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7"/>
    <w:bookmarkEnd w:id="58"/>
    <w:bookmarkStart w:id="60"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9">
        <w:r>
          <w:rPr>
            <w:rStyle w:val="Hyperlink"/>
          </w:rPr>
          <w:t xml:space="preserve">MCP source reference</w:t>
        </w:r>
      </w:hyperlink>
      <w:r>
        <w:t xml:space="preserve">. Station meeting capture does not become live speech recognition because this optional donor adapter exists.</w:t>
      </w:r>
    </w:p>
    <w:bookmarkEnd w:id="60"/>
    <w:bookmarkStart w:id="61"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1"/>
    <w:bookmarkStart w:id="62"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2"/>
    <w:bookmarkStart w:id="63"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r>
        <w:tc>
          <w:tcPr>
            <w:tcW w:type="dxa" w:w="1872"/>
            <w:tcMar>
              <w:top w:w="90" w:type="dxa"/>
              <w:left w:w="90" w:type="dxa"/>
              <w:bottom w:w="90" w:type="dxa"/>
              <w:right w:w="90" w:type="dxa"/>
            </w:tcMar>
          </w:tcPr>
          <w:p>
            <w:pPr>
              <w:pStyle w:val="Compact"/>
            </w:pPr>
            <w:r>
              <w:rPr>
                <w:sz w:val="18"/>
              </w:rPr>
              <w:t xml:space="preserve">Photo analysis unavailable</w:t>
            </w:r>
          </w:p>
        </w:tc>
        <w:tc>
          <w:tcPr>
            <w:tcW w:type="dxa" w:w="3168"/>
            <w:tcMar>
              <w:top w:w="90" w:type="dxa"/>
              <w:left w:w="90" w:type="dxa"/>
              <w:bottom w:w="90" w:type="dxa"/>
              <w:right w:w="90" w:type="dxa"/>
            </w:tcMar>
          </w:tcPr>
          <w:p>
            <w:pPr>
              <w:pStyle w:val="Compact"/>
            </w:pPr>
            <w:r>
              <w:rPr>
                <w:sz w:val="18"/>
              </w:rPr>
              <w:t xml:space="preserve">No configured image-capable vision service.</w:t>
            </w:r>
          </w:p>
        </w:tc>
        <w:tc>
          <w:tcPr>
            <w:tcW w:type="dxa" w:w="5184"/>
            <w:tcMar>
              <w:top w:w="90" w:type="dxa"/>
              <w:left w:w="90" w:type="dxa"/>
              <w:bottom w:w="90" w:type="dxa"/>
              <w:right w:w="90" w:type="dxa"/>
            </w:tcMar>
          </w:tcPr>
          <w:p>
            <w:pPr>
              <w:pStyle w:val="Compact"/>
            </w:pPr>
            <w:r>
              <w:rPr>
                <w:sz w:val="18"/>
              </w:rPr>
              <w:t xml:space="preserve">Use supplied observations or have an administrator configure the existing adapter.</w:t>
            </w:r>
          </w:p>
        </w:tc>
      </w:tr>
      <w:tr>
        <w:tc>
          <w:tcPr>
            <w:tcW w:type="dxa" w:w="1872"/>
            <w:tcMar>
              <w:top w:w="90" w:type="dxa"/>
              <w:left w:w="90" w:type="dxa"/>
              <w:bottom w:w="90" w:type="dxa"/>
              <w:right w:w="90" w:type="dxa"/>
            </w:tcMar>
          </w:tcPr>
          <w:p>
            <w:pPr>
              <w:pStyle w:val="Compact"/>
            </w:pPr>
            <w:r>
              <w:rPr>
                <w:sz w:val="18"/>
              </w:rPr>
              <w:t xml:space="preserve">Automatic text is incorrect</w:t>
            </w:r>
          </w:p>
        </w:tc>
        <w:tc>
          <w:tcPr>
            <w:tcW w:type="dxa" w:w="3168"/>
            <w:tcMar>
              <w:top w:w="90" w:type="dxa"/>
              <w:left w:w="90" w:type="dxa"/>
              <w:bottom w:w="90" w:type="dxa"/>
              <w:right w:w="90" w:type="dxa"/>
            </w:tcMar>
          </w:tcPr>
          <w:p>
            <w:pPr>
              <w:pStyle w:val="Compact"/>
            </w:pPr>
            <w:r>
              <w:rPr>
                <w:sz w:val="18"/>
              </w:rPr>
              <w:t xml:space="preserve">Model recognition is uncertain or wrong.</w:t>
            </w:r>
          </w:p>
        </w:tc>
        <w:tc>
          <w:tcPr>
            <w:tcW w:type="dxa" w:w="5184"/>
            <w:tcMar>
              <w:top w:w="90" w:type="dxa"/>
              <w:left w:w="90" w:type="dxa"/>
              <w:bottom w:w="90" w:type="dxa"/>
              <w:right w:w="90" w:type="dxa"/>
            </w:tcMar>
          </w:tcPr>
          <w:p>
            <w:pPr>
              <w:pStyle w:val="Compact"/>
            </w:pPr>
            <w:r>
              <w:rPr>
                <w:sz w:val="18"/>
              </w:rPr>
              <w:t xml:space="preserve">Compare original evidence, edit and record inspector review before any official use.</w:t>
            </w:r>
          </w:p>
        </w:tc>
      </w:tr>
    </w:tbl>
    <w:bookmarkEnd w:id="63"/>
    <w:bookmarkStart w:id="66"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original/hash, supplied observations and voice summary, saved/reviewed case/readback, separate exact Records copy and private handoff; address exclusion;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4">
        <w:r>
          <w:rPr>
            <w:rStyle w:val="Hyperlink"/>
          </w:rPr>
          <w:t xml:space="preserve">workflow matrix</w:t>
        </w:r>
      </w:hyperlink>
      <w:r>
        <w:t xml:space="preserve"> </w:t>
      </w:r>
      <w:r>
        <w:t xml:space="preserve">identifies raw receipt filenames. The</w:t>
      </w:r>
      <w:r>
        <w:t xml:space="preserve"> </w:t>
      </w:r>
      <w:hyperlink r:id="rId65">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6"/>
    <w:bookmarkStart w:id="78" w:name="terms-of-service-and-license"/>
    <w:p>
      <w:pPr>
        <w:pStyle w:val="Heading1"/>
      </w:pPr>
      <w:r>
        <w:t xml:space="preserve">Terms of service and license</w:t>
      </w:r>
    </w:p>
    <w:bookmarkStart w:id="67"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7"/>
    <w:bookmarkStart w:id="70"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8">
        <w:r>
          <w:rPr>
            <w:rStyle w:val="Hyperlink"/>
          </w:rPr>
          <w:t xml:space="preserve">GNU license reference</w:t>
        </w:r>
      </w:hyperlink>
      <w:r>
        <w:t xml:space="preserve"> </w:t>
      </w:r>
      <w:r>
        <w:t xml:space="preserve">and</w:t>
      </w:r>
      <w:r>
        <w:t xml:space="preserve"> </w:t>
      </w:r>
      <w:hyperlink r:id="rId69">
        <w:r>
          <w:rPr>
            <w:rStyle w:val="Hyperlink"/>
          </w:rPr>
          <w:t xml:space="preserve">GNU licensing FAQ</w:t>
        </w:r>
      </w:hyperlink>
      <w:r>
        <w:t xml:space="preserve">.</w:t>
      </w:r>
    </w:p>
    <w:bookmarkEnd w:id="70"/>
    <w:bookmarkStart w:id="71"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1"/>
    <w:bookmarkStart w:id="72"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2"/>
    <w:bookmarkStart w:id="73"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3"/>
    <w:bookmarkStart w:id="74"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4"/>
    <w:bookmarkStart w:id="75"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5"/>
    <w:bookmarkStart w:id="76"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6"/>
    <w:bookmarkStart w:id="77"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7"/>
    <w:bookmarkEnd w:id="78"/>
    <w:bookmarkStart w:id="79"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9"/>
    <w:bookmarkStart w:id="81"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0" w:name="operating-subject-links"/>
    <w:p>
      <w:pPr>
        <w:pStyle w:val="Heading2"/>
      </w:pPr>
      <w:r>
        <w:t xml:space="preserve">Operating subject links</w:t>
      </w:r>
    </w:p>
    <w:p>
      <w:pPr>
        <w:pStyle w:val="Compact"/>
        <w:numPr>
          <w:ilvl w:val="0"/>
          <w:numId w:val="1003"/>
        </w:numPr>
      </w:pPr>
      <w:r>
        <w:rPr>
          <w:b/>
          <w:bCs/>
        </w:rPr>
        <w:t xml:space="preserve">Evidence limits outlines and previous cases</w:t>
      </w:r>
      <w:r>
        <w:t xml:space="preserve"> </w:t>
      </w:r>
      <w:r>
        <w:t xml:space="preserve">—</w:t>
      </w:r>
      <w:r>
        <w:t xml:space="preserve"> </w:t>
      </w:r>
      <w:hyperlink w:anchor="X96df1149949adef27ec03948519fad9c9f5b881">
        <w:r>
          <w:rPr>
            <w:rStyle w:val="Hyperlink"/>
          </w:rPr>
          <w:t xml:space="preserve">Evidence limits outlines and previous cases</w:t>
        </w:r>
      </w:hyperlink>
      <w:r>
        <w:t xml:space="preserve">.</w:t>
      </w:r>
    </w:p>
    <w:p>
      <w:pPr>
        <w:pStyle w:val="Compact"/>
        <w:numPr>
          <w:ilvl w:val="0"/>
          <w:numId w:val="1003"/>
        </w:numPr>
      </w:pPr>
      <w:r>
        <w:rPr>
          <w:b/>
          <w:bCs/>
        </w:rPr>
        <w:t xml:space="preserve">Find earlier retained cases</w:t>
      </w:r>
      <w:r>
        <w:t xml:space="preserve"> </w:t>
      </w:r>
      <w:r>
        <w:t xml:space="preserve">—</w:t>
      </w:r>
      <w:r>
        <w:t xml:space="preserve"> </w:t>
      </w:r>
      <w:hyperlink w:anchor="find-earlier-retained-cases">
        <w:r>
          <w:rPr>
            <w:rStyle w:val="Hyperlink"/>
          </w:rPr>
          <w:t xml:space="preserve">Find earlier retained cases</w:t>
        </w:r>
      </w:hyperlink>
      <w:r>
        <w:t xml:space="preserve">.</w:t>
      </w:r>
    </w:p>
    <w:p>
      <w:pPr>
        <w:pStyle w:val="Compact"/>
        <w:numPr>
          <w:ilvl w:val="0"/>
          <w:numId w:val="1003"/>
        </w:numPr>
      </w:pPr>
      <w:r>
        <w:rPr>
          <w:b/>
          <w:bCs/>
        </w:rPr>
        <w:t xml:space="preserve">Prepare an outline for review</w:t>
      </w:r>
      <w:r>
        <w:t xml:space="preserve"> </w:t>
      </w:r>
      <w:r>
        <w:t xml:space="preserve">—</w:t>
      </w:r>
      <w:r>
        <w:t xml:space="preserve"> </w:t>
      </w:r>
      <w:hyperlink w:anchor="prepare-an-outline-for-review">
        <w:r>
          <w:rPr>
            <w:rStyle w:val="Hyperlink"/>
          </w:rPr>
          <w:t xml:space="preserve">Prepare an outline for review</w:t>
        </w:r>
      </w:hyperlink>
      <w:r>
        <w:t xml:space="preserve">.</w:t>
      </w:r>
    </w:p>
    <w:p>
      <w:pPr>
        <w:pStyle w:val="Compact"/>
        <w:numPr>
          <w:ilvl w:val="0"/>
          <w:numId w:val="1003"/>
        </w:numPr>
      </w:pPr>
      <w:r>
        <w:rPr>
          <w:b/>
          <w:bCs/>
        </w:rPr>
        <w:t xml:space="preserve">Select supported original files</w:t>
      </w:r>
      <w:r>
        <w:t xml:space="preserve"> </w:t>
      </w:r>
      <w:r>
        <w:t xml:space="preserve">—</w:t>
      </w:r>
      <w:r>
        <w:t xml:space="preserve"> </w:t>
      </w:r>
      <w:hyperlink w:anchor="select-supported-original-files">
        <w:r>
          <w:rPr>
            <w:rStyle w:val="Hyperlink"/>
          </w:rPr>
          <w:t xml:space="preserve">Select supported original files</w:t>
        </w:r>
      </w:hyperlink>
      <w:r>
        <w:t xml:space="preserve">.</w:t>
      </w:r>
    </w:p>
    <w:bookmarkEnd w:id="80"/>
    <w:bookmarkEnd w:id="81"/>
    <w:bookmarkStart w:id="86"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5" w:name="workflow-subject-index"/>
    <w:p>
      <w:pPr>
        <w:pStyle w:val="Heading2"/>
      </w:pPr>
      <w:r>
        <w:t xml:space="preserve">Workflow subject index</w:t>
      </w:r>
    </w:p>
    <w:p>
      <w:pPr>
        <w:numPr>
          <w:ilvl w:val="0"/>
          <w:numId w:val="1004"/>
        </w:numPr>
      </w:pPr>
      <w:r>
        <w:rPr>
          <w:b/>
          <w:bCs/>
        </w:rPr>
        <w:t xml:space="preserve">Choose supplied or automatic text</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Create the case</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Hand off exact bytes</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r>
        <w:rPr>
          <w:b/>
          <w:bCs/>
        </w:rPr>
        <w:t xml:space="preserve">Prepare the Records copy</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Retain originals</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Review the analysis and citations</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r>
        <w:rPr>
          <w:b/>
          <w:bCs/>
        </w:rPr>
        <w:t xml:space="preserve">Save and record review</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hyperlink r:id="rId82">
        <w:r>
          <w:rPr>
            <w:rStyle w:val="Hyperlink"/>
          </w:rPr>
          <w:t xml:space="preserve">Source inventory and file hashes</w:t>
        </w:r>
      </w:hyperlink>
    </w:p>
    <w:p>
      <w:pPr>
        <w:numPr>
          <w:ilvl w:val="0"/>
          <w:numId w:val="1004"/>
        </w:numPr>
      </w:pPr>
      <w:hyperlink r:id="rId45">
        <w:r>
          <w:rPr>
            <w:rStyle w:val="Hyperlink"/>
          </w:rPr>
          <w:t xml:space="preserve">All component metadata</w:t>
        </w:r>
      </w:hyperlink>
    </w:p>
    <w:p>
      <w:pPr>
        <w:numPr>
          <w:ilvl w:val="0"/>
          <w:numId w:val="1004"/>
        </w:numPr>
      </w:pPr>
      <w:hyperlink r:id="rId83">
        <w:r>
          <w:rPr>
            <w:rStyle w:val="Hyperlink"/>
          </w:rPr>
          <w:t xml:space="preserve">Installed domain OpenAPI</w:t>
        </w:r>
      </w:hyperlink>
    </w:p>
    <w:p>
      <w:pPr>
        <w:numPr>
          <w:ilvl w:val="0"/>
          <w:numId w:val="1004"/>
        </w:numPr>
      </w:pPr>
      <w:hyperlink r:id="rId64">
        <w:r>
          <w:rPr>
            <w:rStyle w:val="Hyperlink"/>
          </w:rPr>
          <w:t xml:space="preserve">Workflow matrix</w:t>
        </w:r>
      </w:hyperlink>
    </w:p>
    <w:p>
      <w:pPr>
        <w:numPr>
          <w:ilvl w:val="0"/>
          <w:numId w:val="1004"/>
        </w:numPr>
      </w:pPr>
      <w:hyperlink r:id="rId84">
        <w:r>
          <w:rPr>
            <w:rStyle w:val="Hyperlink"/>
          </w:rPr>
          <w:t xml:space="preserve">Full AGPL text</w:t>
        </w:r>
      </w:hyperlink>
    </w:p>
    <w:bookmarkEnd w:id="85"/>
    <w:bookmarkEnd w:id="86"/>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5" Type="http://schemas.openxmlformats.org/officeDocument/2006/relationships/hyperlink" Target="../api/inspections-openapi.json" TargetMode="External"/><Relationship Id="rId54" Type="http://schemas.openxmlformats.org/officeDocument/2006/relationships/hyperlink" Target="../api/inspections.html" TargetMode="External"/><Relationship Id="rId84"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3" Type="http://schemas.openxmlformats.org/officeDocument/2006/relationships/hyperlink" Target="../reference/desktop-domain-openapi.json" TargetMode="External"/><Relationship Id="rId56" Type="http://schemas.openxmlformats.org/officeDocument/2006/relationships/hyperlink" Target="../reference/index.html" TargetMode="External"/><Relationship Id="rId59"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5" Type="http://schemas.openxmlformats.org/officeDocument/2006/relationships/hyperlink" Target="../reference/sandbox-evidence-index.json" TargetMode="External"/><Relationship Id="rId82" Type="http://schemas.openxmlformats.org/officeDocument/2006/relationships/hyperlink" Target="../reference/source-inventory.json" TargetMode="External"/><Relationship Id="rId64" Type="http://schemas.openxmlformats.org/officeDocument/2006/relationships/hyperlink" Target="../reference/workflow-matrix.json" TargetMode="External"/><Relationship Id="rId68" Type="http://schemas.openxmlformats.org/officeDocument/2006/relationships/hyperlink" Target="https://www.gnu.org/licenses/agpl-3.0.html" TargetMode="External"/><Relationship Id="rId69"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api/inspections-openapi.json" TargetMode="External"/><Relationship Id="rId54" Type="http://schemas.openxmlformats.org/officeDocument/2006/relationships/hyperlink" Target="../api/inspections.html" TargetMode="External"/><Relationship Id="rId84"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3" Type="http://schemas.openxmlformats.org/officeDocument/2006/relationships/hyperlink" Target="../reference/desktop-domain-openapi.json" TargetMode="External"/><Relationship Id="rId56" Type="http://schemas.openxmlformats.org/officeDocument/2006/relationships/hyperlink" Target="../reference/index.html" TargetMode="External"/><Relationship Id="rId59"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5" Type="http://schemas.openxmlformats.org/officeDocument/2006/relationships/hyperlink" Target="../reference/sandbox-evidence-index.json" TargetMode="External"/><Relationship Id="rId82" Type="http://schemas.openxmlformats.org/officeDocument/2006/relationships/hyperlink" Target="../reference/source-inventory.json" TargetMode="External"/><Relationship Id="rId64" Type="http://schemas.openxmlformats.org/officeDocument/2006/relationships/hyperlink" Target="../reference/workflow-matrix.json" TargetMode="External"/><Relationship Id="rId68" Type="http://schemas.openxmlformats.org/officeDocument/2006/relationships/hyperlink" Target="https://www.gnu.org/licenses/agpl-3.0.html" TargetMode="External"/><Relationship Id="rId69"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Inspections Manual</dc:title>
  <dc:creator/>
  <cp:keywords/>
  <dcterms:created xsi:type="dcterms:W3CDTF">2026-10-30T16:19:17Z</dcterms:created>
  <dcterms:modified xsi:type="dcterms:W3CDTF">2026-10-30T16:19:17Z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