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Permitting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9136de5dddd8df2a0eb91eb17dfa2bb8e3e081a">
        <w:r>
          <w:rPr>
            <w:rStyle w:val="Hyperlink"/>
          </w:rPr>
          <w:t xml:space="preserve">Describe a project and read source grounded guidance</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Permitting helps permit intake staff and development-review coordinators. Permitting supports pre-application and development-review intake. It imports retained requirements, produces source-grounded material/pathway guidance, saves reviewed cases and prepares a separate Records copy.</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civicpermit 0.3.0+dev.1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Import requirements</w:t>
      </w:r>
    </w:p>
    <w:p>
      <w:pPr>
        <w:pStyle w:val="FirstParagraph"/>
      </w:pPr>
      <w:r>
        <w:t xml:space="preserve">Open Requirement library and select the complete JSON RequirementBundle. Inspect jurisdiction, project type, effective/source dates, original filename/hash and material citations. Later revisions require the current revision and preserve history.</w:t>
      </w:r>
    </w:p>
    <w:bookmarkEnd w:id="23"/>
    <w:bookmarkStart w:id="24" w:name="workflow-2"/>
    <w:p>
      <w:pPr>
        <w:pStyle w:val="Heading2"/>
      </w:pPr>
      <w:r>
        <w:t xml:space="preserve">2 Read pathway guidance</w:t>
      </w:r>
    </w:p>
    <w:p>
      <w:pPr>
        <w:pStyle w:val="FirstParagraph"/>
      </w:pPr>
      <w:r>
        <w:t xml:space="preserve">Choose the retained requirement revision and matching project type. Inspect material requirements, pathway steps and source-backed timing/fee text. If authority is absent, seek the source; do not invent a requirement, date or fee.</w:t>
      </w:r>
    </w:p>
    <w:bookmarkEnd w:id="24"/>
    <w:bookmarkStart w:id="25" w:name="workflow-3"/>
    <w:p>
      <w:pPr>
        <w:pStyle w:val="Heading2"/>
      </w:pPr>
      <w:r>
        <w:t xml:space="preserve">3 Prepare intake</w:t>
      </w:r>
    </w:p>
    <w:p>
      <w:pPr>
        <w:pStyle w:val="FirstParagraph"/>
      </w:pPr>
      <w:r>
        <w:t xml:space="preserve">Create the case with project, location, applicant contact and staff assignment. Assess materials as not reviewed, provided, missing or unclear. Keep private notes and the proposal separate from the public summary.</w:t>
      </w:r>
    </w:p>
    <w:bookmarkEnd w:id="25"/>
    <w:bookmarkStart w:id="26" w:name="workflow-4"/>
    <w:p>
      <w:pPr>
        <w:pStyle w:val="Heading2"/>
      </w:pPr>
      <w:r>
        <w:t xml:space="preserve">4 Select cited context</w:t>
      </w:r>
    </w:p>
    <w:p>
      <w:pPr>
        <w:pStyle w:val="FirstParagraph"/>
      </w:pPr>
      <w:r>
        <w:t xml:space="preserve">Search Code and Zoning and choose the exact permitted versions. Source availability and expected hashes are checked during search, save and export.</w:t>
      </w:r>
    </w:p>
    <w:bookmarkEnd w:id="26"/>
    <w:bookmarkStart w:id="27" w:name="workflow-5"/>
    <w:p>
      <w:pPr>
        <w:pStyle w:val="Heading2"/>
      </w:pPr>
      <w:r>
        <w:t xml:space="preserve">5 Save and review</w:t>
      </w:r>
    </w:p>
    <w:p>
      <w:pPr>
        <w:pStyle w:val="FirstParagraph"/>
      </w:pPr>
      <w:r>
        <w:t xml:space="preserve">Save the intake, reopen it and reconcile revision conflicts. Record staff review with review notes. The trusted staff path derives the reviewer; later edits require a new review.</w:t>
      </w:r>
    </w:p>
    <w:bookmarkEnd w:id="27"/>
    <w:bookmarkStart w:id="28" w:name="workflow-6"/>
    <w:p>
      <w:pPr>
        <w:pStyle w:val="Heading2"/>
      </w:pPr>
      <w:r>
        <w:t xml:space="preserve">6 Inspect each audience</w:t>
      </w:r>
    </w:p>
    <w:p>
      <w:pPr>
        <w:pStyle w:val="FirstParagraph"/>
      </w:pPr>
      <w:r>
        <w:t xml:space="preserve">A staff packet can contain private detail. A Records copy uses the separately reviewed public summary and excludes applicant contact, location, proposal, material notes and private staff notes. Preview it before creating it.</w:t>
      </w:r>
    </w:p>
    <w:bookmarkEnd w:id="28"/>
    <w:bookmarkStart w:id="29" w:name="workflow-7"/>
    <w:p>
      <w:pPr>
        <w:pStyle w:val="Heading2"/>
      </w:pPr>
      <w:r>
        <w:t xml:space="preserve">7 Attach and verify</w:t>
      </w:r>
    </w:p>
    <w:p>
      <w:pPr>
        <w:pStyle w:val="FirstParagraph"/>
      </w:pPr>
      <w:r>
        <w:t xml:space="preserve">Attach the exact hash-checked copy to an existing Records request. Reopen Records and inspect it. Records retains its separate release, approval and fulfillment controls.</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Consumes Code and Zoning evidence and hands a reviewed Records copy to an existing request. There is no automatic creation of an Inspections case.</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complete RequirementBundle with jurisdiction, project type, source dates, originals and citations; proposal/contact details; permitted Code/Zoning sources.</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Source-grounded guidance, saved reviewed intake workpapers and an exact audience-specific packet or Records handoff.</w:t>
            </w:r>
          </w:p>
        </w:tc>
      </w:tr>
    </w:tbl>
    <w:bookmarkStart w:id="32" w:name="product-boundary"/>
    <w:p>
      <w:pPr>
        <w:pStyle w:val="Heading2"/>
      </w:pPr>
      <w:r>
        <w:t xml:space="preserve">Product boundary</w:t>
      </w:r>
    </w:p>
    <w:p>
      <w:pPr>
        <w:pStyle w:val="FirstParagraph"/>
      </w:pPr>
      <w:r>
        <w:t xml:space="preserve">Does not issue permits, collect money, calculate authoritative permit fees, schedule inspections or write decisions to a commercial permit system. Imported official fee amounts or fee-source wording are information from their source, not a new authoritative calculation. Universal vendor status mirroring and an internet applicant portal are outside this beta scope.</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Permitting architecture" title="" id="35" name="Picture"/>
            <a:graphic>
              <a:graphicData uri="http://schemas.openxmlformats.org/drawingml/2006/picture">
                <pic:pic>
                  <pic:nvPicPr>
                    <pic:cNvPr descr="C:/Users/scott/Documents/Codex/2026-10-26/read-this-and-check-the-software/outputs/townlight-beta-1-documentation/site/assets/word/permitting-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Permitting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38" w:name="X9136de5dddd8df2a0eb91eb17dfa2bb8e3e081a"/>
    <w:p>
      <w:pPr>
        <w:pStyle w:val="Heading1"/>
      </w:pPr>
      <w:r>
        <w:t xml:space="preserve">Describe a project and read source grounded guidance</w:t>
      </w:r>
    </w:p>
    <w:p>
      <w:pPr>
        <w:pStyle w:val="Compact"/>
        <w:numPr>
          <w:ilvl w:val="0"/>
          <w:numId w:val="1002"/>
        </w:numPr>
      </w:pPr>
      <w:r>
        <w:t xml:space="preserve">Import and verify the complete requirement bundle in</w:t>
      </w:r>
      <w:r>
        <w:t xml:space="preserve"> </w:t>
      </w:r>
      <w:r>
        <w:rPr>
          <w:b/>
          <w:bCs/>
        </w:rPr>
        <w:t xml:space="preserve">Requirement library</w:t>
      </w:r>
      <w:r>
        <w:t xml:space="preserve">. Retain its actual revision and matching project type. A bundle for a different project type is not interchangeable authority.</w:t>
      </w:r>
    </w:p>
    <w:p>
      <w:pPr>
        <w:pStyle w:val="Compact"/>
        <w:numPr>
          <w:ilvl w:val="0"/>
          <w:numId w:val="1002"/>
        </w:numPr>
      </w:pPr>
      <w:r>
        <w:t xml:space="preserve">Open</w:t>
      </w:r>
      <w:r>
        <w:t xml:space="preserve"> </w:t>
      </w:r>
      <w:r>
        <w:rPr>
          <w:b/>
          <w:bCs/>
        </w:rPr>
        <w:t xml:space="preserve">Describe your project</w:t>
      </w:r>
      <w:r>
        <w:t xml:space="preserve">. Enter the</w:t>
      </w:r>
      <w:r>
        <w:t xml:space="preserve"> </w:t>
      </w:r>
      <w:r>
        <w:rPr>
          <w:b/>
          <w:bCs/>
        </w:rPr>
        <w:t xml:space="preserve">project type</w:t>
      </w:r>
      <w:r>
        <w:t xml:space="preserve">, retained</w:t>
      </w:r>
      <w:r>
        <w:t xml:space="preserve"> </w:t>
      </w:r>
      <w:r>
        <w:rPr>
          <w:b/>
          <w:bCs/>
        </w:rPr>
        <w:t xml:space="preserve">requirement revision</w:t>
      </w:r>
      <w:r>
        <w:t xml:space="preserve">, your</w:t>
      </w:r>
      <w:r>
        <w:t xml:space="preserve"> </w:t>
      </w:r>
      <w:r>
        <w:rPr>
          <w:b/>
          <w:bCs/>
        </w:rPr>
        <w:t xml:space="preserve">proposal</w:t>
      </w:r>
      <w:r>
        <w:t xml:space="preserve"> </w:t>
      </w:r>
      <w:r>
        <w:t xml:space="preserve">and</w:t>
      </w:r>
      <w:r>
        <w:t xml:space="preserve"> </w:t>
      </w:r>
      <w:r>
        <w:rPr>
          <w:b/>
          <w:bCs/>
        </w:rPr>
        <w:t xml:space="preserve">location context</w:t>
      </w:r>
      <w:r>
        <w:t xml:space="preserve">. The proposal explains the contemplated work; location context helps staff understand applicability. Keep private applicant contact and staff notes in their intended intake fields rather than a public explanation.</w:t>
      </w:r>
    </w:p>
    <w:p>
      <w:pPr>
        <w:pStyle w:val="Compact"/>
        <w:numPr>
          <w:ilvl w:val="0"/>
          <w:numId w:val="1002"/>
        </w:numPr>
      </w:pPr>
      <w:r>
        <w:t xml:space="preserve">Request the existing pathway. Read required materials, cited steps and any source-backed timing or fee information together with the retained sources.</w:t>
      </w:r>
    </w:p>
    <w:p>
      <w:pPr>
        <w:pStyle w:val="Compact"/>
        <w:numPr>
          <w:ilvl w:val="0"/>
          <w:numId w:val="1002"/>
        </w:numPr>
      </w:pPr>
      <w:r>
        <w:t xml:space="preserve">Inspect the</w:t>
      </w:r>
      <w:r>
        <w:t xml:space="preserve"> </w:t>
      </w:r>
      <w:r>
        <w:rPr>
          <w:rStyle w:val="VerbatimChar"/>
        </w:rPr>
        <w:t xml:space="preserve">unavailable</w:t>
      </w:r>
      <w:r>
        <w:t xml:space="preserve"> </w:t>
      </w:r>
      <w:r>
        <w:t xml:space="preserve">items. The application can return useful cited material and also explicitly lack authority for a fee, duration or stage. Obtain an applicable source or leave it unavailable; do not turn a blank into zero or a guessed deadline.</w:t>
      </w:r>
    </w:p>
    <w:p>
      <w:pPr>
        <w:pStyle w:val="Compact"/>
        <w:numPr>
          <w:ilvl w:val="0"/>
          <w:numId w:val="1002"/>
        </w:numPr>
      </w:pPr>
      <w:r>
        <w:t xml:space="preserve">If preparing a case, save the intake separately, select actual Code/Zoning authority, record staff review and inspect the public copy before the Records handoff. Requesting guidance is not issuance or approval.</w:t>
      </w:r>
    </w:p>
    <w:p>
      <w:pPr>
        <w:pStyle w:val="FirstParagraph"/>
      </w:pPr>
      <w:r>
        <w:t xml:space="preserve">An authenticated request to</w:t>
      </w:r>
      <w:r>
        <w:t xml:space="preserve"> </w:t>
      </w:r>
      <w:r>
        <w:rPr>
          <w:rStyle w:val="VerbatimChar"/>
        </w:rPr>
        <w:t xml:space="preserve">POST /desktop/v1/permitting/pathway</w:t>
      </w:r>
      <w:r>
        <w:t xml:space="preserve"> </w:t>
      </w:r>
      <w:r>
        <w:t xml:space="preserve">can use:</w:t>
      </w:r>
    </w:p>
    <w:p>
      <w:pPr>
        <w:pStyle w:val="SourceCode"/>
      </w:pPr>
      <w:r>
        <w:rPr>
          <w:rStyle w:val="FunctionTok"/>
        </w:rPr>
        <w:t xml:space="preserve">{</w:t>
      </w:r>
      <w:r>
        <w:rPr>
          <w:rStyle w:val="DataTypeTok"/>
        </w:rPr>
        <w:t xml:space="preserve">"project_type"</w:t>
      </w:r>
      <w:r>
        <w:rPr>
          <w:rStyle w:val="FunctionTok"/>
        </w:rPr>
        <w:t xml:space="preserve">:</w:t>
      </w:r>
      <w:r>
        <w:rPr>
          <w:rStyle w:val="StringTok"/>
        </w:rPr>
        <w:t xml:space="preserve">"synthetic-deck"</w:t>
      </w:r>
      <w:r>
        <w:rPr>
          <w:rStyle w:val="FunctionTok"/>
        </w:rPr>
        <w:t xml:space="preserve">,</w:t>
      </w:r>
      <w:r>
        <w:rPr>
          <w:rStyle w:val="DataTypeTok"/>
        </w:rPr>
        <w:t xml:space="preserve">"requirement_revision"</w:t>
      </w:r>
      <w:r>
        <w:rPr>
          <w:rStyle w:val="FunctionTok"/>
        </w:rPr>
        <w:t xml:space="preserve">:</w:t>
      </w:r>
      <w:r>
        <w:rPr>
          <w:rStyle w:val="StringTok"/>
        </w:rPr>
        <w:t xml:space="preserve">"11111111-1111-4111-8111-111111111111"</w:t>
      </w:r>
      <w:r>
        <w:rPr>
          <w:rStyle w:val="FunctionTok"/>
        </w:rPr>
        <w:t xml:space="preserve">,</w:t>
      </w:r>
      <w:r>
        <w:rPr>
          <w:rStyle w:val="DataTypeTok"/>
        </w:rPr>
        <w:t xml:space="preserve">"proposal"</w:t>
      </w:r>
      <w:r>
        <w:rPr>
          <w:rStyle w:val="FunctionTok"/>
        </w:rPr>
        <w:t xml:space="preserve">:</w:t>
      </w:r>
      <w:r>
        <w:rPr>
          <w:rStyle w:val="StringTok"/>
        </w:rPr>
        <w:t xml:space="preserve">"Replace a synthetic residential deck"</w:t>
      </w:r>
      <w:r>
        <w:rPr>
          <w:rStyle w:val="FunctionTok"/>
        </w:rPr>
        <w:t xml:space="preserve">,</w:t>
      </w:r>
      <w:r>
        <w:rPr>
          <w:rStyle w:val="DataTypeTok"/>
        </w:rPr>
        <w:t xml:space="preserve">"location_context"</w:t>
      </w:r>
      <w:r>
        <w:rPr>
          <w:rStyle w:val="FunctionTok"/>
        </w:rPr>
        <w:t xml:space="preserve">:</w:t>
      </w:r>
      <w:r>
        <w:rPr>
          <w:rStyle w:val="StringTok"/>
        </w:rPr>
        <w:t xml:space="preserve">"Fictional test parcel"</w:t>
      </w:r>
      <w:r>
        <w:rPr>
          <w:rStyle w:val="FunctionTok"/>
        </w:rPr>
        <w:t xml:space="preserve">}</w:t>
      </w:r>
    </w:p>
    <w:p>
      <w:pPr>
        <w:pStyle w:val="FirstParagraph"/>
      </w:pPr>
      <w:r>
        <w:t xml:space="preserve">Replace the revision and project type with the matching retained synthetic bundle. The API’s optional</w:t>
      </w:r>
      <w:r>
        <w:t xml:space="preserve"> </w:t>
      </w:r>
      <w:r>
        <w:rPr>
          <w:rStyle w:val="VerbatimChar"/>
        </w:rPr>
        <w:t xml:space="preserve">fee_link</w:t>
      </w:r>
      <w:r>
        <w:t xml:space="preserve"> </w:t>
      </w:r>
      <w:r>
        <w:t xml:space="preserve">is an exact permitted source link when the client can supply one; it is not a fee formula or arbitrary amount. The native Describe your project form does not become a fee-authority editor. Imported official amounts and explanatory estimates retain their source and informational status. No authoritative fee calculation, payment collection, live-model call, vendor status mirror or new portal is added by this workflow.</w:t>
      </w:r>
    </w:p>
    <w:p>
      <w:pPr>
        <w:pStyle w:val="BodyText"/>
      </w:pPr>
      <w:r>
        <w:t xml:space="preserve">Expected readback is the source-grounded guidance together with citations and explicitly unavailable items. Check actual source identity/hash and review-required/informational indicators, rather than treating a successful HTTP response as proof of complete or authoritative guidance. Read the full returned shape in the API reference and preserve a copy only through the existing saved-case/review contracts.</w:t>
      </w:r>
    </w:p>
    <w:p>
      <w:pPr>
        <w:pStyle w:val="BodyText"/>
      </w:pPr>
      <w:r>
        <w:t xml:space="preserve">Source contracts:</w:t>
      </w:r>
      <w:r>
        <w:t xml:space="preserve"> </w:t>
      </w:r>
      <w:r>
        <w:rPr>
          <w:rStyle w:val="VerbatimChar"/>
        </w:rPr>
        <w:t xml:space="preserve">civicpermit/pathway.py</w:t>
      </w:r>
      <w:r>
        <w:t xml:space="preserve">, requirement source models,</w:t>
      </w:r>
      <w:r>
        <w:t xml:space="preserve"> </w:t>
      </w:r>
      <w:r>
        <w:rPr>
          <w:rStyle w:val="VerbatimChar"/>
        </w:rPr>
        <w:t xml:space="preserve">civicsuite_runtime/permitting_bridge.py</w:t>
      </w:r>
      <w:r>
        <w:t xml:space="preserve"> </w:t>
      </w:r>
      <w:r>
        <w:t xml:space="preserve">and the Permitting view.</w:t>
      </w:r>
    </w:p>
    <w:bookmarkEnd w:id="38"/>
    <w:bookmarkStart w:id="44" w:name="technical-specifications"/>
    <w:p>
      <w:pPr>
        <w:pStyle w:val="Heading1"/>
      </w:pPr>
      <w:r>
        <w:t xml:space="preserve">Technical specifications</w:t>
      </w:r>
    </w:p>
    <w:bookmarkStart w:id="39"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39"/>
    <w:bookmarkStart w:id="40" w:name="data-and-consistency"/>
    <w:p>
      <w:pPr>
        <w:pStyle w:val="Heading2"/>
      </w:pPr>
      <w:r>
        <w:t xml:space="preserve">Data and consistency</w:t>
      </w:r>
    </w:p>
    <w:p>
      <w:pPr>
        <w:pStyle w:val="FirstParagraph"/>
      </w:pPr>
      <w:r>
        <w:t xml:space="preserve">Requirement bundles and immutable revisions; cited materials and pathway steps; source timing and fee information; intake cases and revisions; material assessments; reviews; staff and Records packets.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0"/>
    <w:bookmarkStart w:id="43"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1">
        <w:r>
          <w:rPr>
            <w:rStyle w:val="Hyperlink"/>
          </w:rPr>
          <w:t xml:space="preserve">runtime payload lock</w:t>
        </w:r>
      </w:hyperlink>
      <w:r>
        <w:t xml:space="preserve"> </w:t>
      </w:r>
      <w:r>
        <w:t xml:space="preserve">records pinned files, sizes and hashes. The</w:t>
      </w:r>
      <w:r>
        <w:t xml:space="preserve"> </w:t>
      </w:r>
      <w:hyperlink r:id="rId42">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3"/>
    <w:bookmarkEnd w:id="44"/>
    <w:bookmarkStart w:id="47" w:name="configuration-and-administration"/>
    <w:p>
      <w:pPr>
        <w:pStyle w:val="Heading1"/>
      </w:pPr>
      <w:r>
        <w:t xml:space="preserve">Configuration and administration</w:t>
      </w:r>
    </w:p>
    <w:bookmarkStart w:id="45"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5"/>
    <w:bookmarkStart w:id="46" w:name="requirement-source-configuration"/>
    <w:p>
      <w:pPr>
        <w:pStyle w:val="Heading2"/>
      </w:pPr>
      <w:r>
        <w:t xml:space="preserve">Requirement source configuration</w:t>
      </w:r>
    </w:p>
    <w:p>
      <w:pPr>
        <w:pStyle w:val="FirstParagraph"/>
      </w:pPr>
      <w:r>
        <w:t xml:space="preserve">The supported requirement source is a complete versioned JSON bundle, not an editable label pointing to an absent file. It retains project type, source/effective dates, original name/hash and citations. Import a later revision against the current expected revision. Pathway dates and fee text must be tied to that retained authority. No official fee engine or commercial permitting writeback is configured by this manual.</w:t>
      </w:r>
    </w:p>
    <w:bookmarkEnd w:id="46"/>
    <w:bookmarkEnd w:id="47"/>
    <w:bookmarkStart w:id="57" w:name="api-and-integration-examples"/>
    <w:p>
      <w:pPr>
        <w:pStyle w:val="Heading1"/>
      </w:pPr>
      <w:r>
        <w:t xml:space="preserve">API and integration examples</w:t>
      </w:r>
    </w:p>
    <w:bookmarkStart w:id="48"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'permitting_domain_request'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'requirements'</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48"/>
    <w:bookmarkStart w:id="49"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'http://127.0.0.1:15480/desktop/v1/permitting/requirements'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49"/>
    <w:bookmarkStart w:id="51" w:name="complete-synthetic-source-bundle"/>
    <w:p>
      <w:pPr>
        <w:pStyle w:val="Heading2"/>
      </w:pPr>
      <w:r>
        <w:t xml:space="preserve">Complete synthetic source bundle</w:t>
      </w:r>
    </w:p>
    <w:p>
      <w:pPr>
        <w:pStyle w:val="FirstParagraph"/>
      </w:pPr>
      <w:r>
        <w:t xml:space="preserve">The</w:t>
      </w:r>
      <w:r>
        <w:t xml:space="preserve"> </w:t>
      </w:r>
      <w:hyperlink r:id="rId50">
        <w:r>
          <w:rPr>
            <w:rStyle w:val="Hyperlink"/>
          </w:rPr>
          <w:t xml:space="preserve">synthetic Permitting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1"/>
    <w:bookmarkStart w:id="52"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2"/>
    <w:bookmarkStart w:id="56" w:name="complete-technical-contract"/>
    <w:p>
      <w:pPr>
        <w:pStyle w:val="Heading2"/>
      </w:pPr>
      <w:r>
        <w:t xml:space="preserve">Complete technical contract</w:t>
      </w:r>
    </w:p>
    <w:p>
      <w:pPr>
        <w:pStyle w:val="FirstParagraph"/>
      </w:pPr>
      <w:r>
        <w:t xml:space="preserve">Read the</w:t>
      </w:r>
      <w:r>
        <w:t xml:space="preserve"> </w:t>
      </w:r>
      <w:hyperlink r:id="rId53">
        <w:r>
          <w:rPr>
            <w:rStyle w:val="Hyperlink"/>
          </w:rPr>
          <w:t xml:space="preserve">Permitting API reference</w:t>
        </w:r>
      </w:hyperlink>
      <w:r>
        <w:t xml:space="preserve"> </w:t>
      </w:r>
      <w:r>
        <w:t xml:space="preserve">for every documented operation, request field, constraint, response declaration and source supplement. Download the</w:t>
      </w:r>
      <w:r>
        <w:t xml:space="preserve"> </w:t>
      </w:r>
      <w:hyperlink r:id="rId54">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5">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6"/>
    <w:bookmarkEnd w:id="57"/>
    <w:bookmarkStart w:id="59"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8">
        <w:r>
          <w:rPr>
            <w:rStyle w:val="Hyperlink"/>
          </w:rPr>
          <w:t xml:space="preserve">MCP source reference</w:t>
        </w:r>
      </w:hyperlink>
      <w:r>
        <w:t xml:space="preserve">. Station meeting capture does not become live speech recognition because this optional donor adapter exists.</w:t>
      </w:r>
    </w:p>
    <w:bookmarkEnd w:id="59"/>
    <w:bookmarkStart w:id="60"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0"/>
    <w:bookmarkStart w:id="61"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1"/>
    <w:bookmarkStart w:id="62"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2"/>
    <w:bookmarkStart w:id="65"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requirement import, source-grounded materials/pathway/timing, saved intake/review, separate hash-checked Records copy and private handoff; contact exclusion;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3">
        <w:r>
          <w:rPr>
            <w:rStyle w:val="Hyperlink"/>
          </w:rPr>
          <w:t xml:space="preserve">workflow matrix</w:t>
        </w:r>
      </w:hyperlink>
      <w:r>
        <w:t xml:space="preserve"> </w:t>
      </w:r>
      <w:r>
        <w:t xml:space="preserve">identifies raw receipt filenames. The</w:t>
      </w:r>
      <w:r>
        <w:t xml:space="preserve"> </w:t>
      </w:r>
      <w:hyperlink r:id="rId64">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5"/>
    <w:bookmarkStart w:id="77" w:name="terms-of-service-and-license"/>
    <w:p>
      <w:pPr>
        <w:pStyle w:val="Heading1"/>
      </w:pPr>
      <w:r>
        <w:t xml:space="preserve">Terms of service and license</w:t>
      </w:r>
    </w:p>
    <w:bookmarkStart w:id="66"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6"/>
    <w:bookmarkStart w:id="69"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7">
        <w:r>
          <w:rPr>
            <w:rStyle w:val="Hyperlink"/>
          </w:rPr>
          <w:t xml:space="preserve">GNU license reference</w:t>
        </w:r>
      </w:hyperlink>
      <w:r>
        <w:t xml:space="preserve"> </w:t>
      </w:r>
      <w:r>
        <w:t xml:space="preserve">and</w:t>
      </w:r>
      <w:r>
        <w:t xml:space="preserve"> </w:t>
      </w:r>
      <w:hyperlink r:id="rId68">
        <w:r>
          <w:rPr>
            <w:rStyle w:val="Hyperlink"/>
          </w:rPr>
          <w:t xml:space="preserve">GNU licensing FAQ</w:t>
        </w:r>
      </w:hyperlink>
      <w:r>
        <w:t xml:space="preserve">.</w:t>
      </w:r>
    </w:p>
    <w:bookmarkEnd w:id="69"/>
    <w:bookmarkStart w:id="70"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0"/>
    <w:bookmarkStart w:id="71"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1"/>
    <w:bookmarkStart w:id="72"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2"/>
    <w:bookmarkStart w:id="73"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3"/>
    <w:bookmarkStart w:id="74"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4"/>
    <w:bookmarkStart w:id="75"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5"/>
    <w:bookmarkStart w:id="76"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6"/>
    <w:bookmarkEnd w:id="77"/>
    <w:bookmarkStart w:id="78"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8"/>
    <w:bookmarkStart w:id="80"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79" w:name="operating-subject-links"/>
    <w:p>
      <w:pPr>
        <w:pStyle w:val="Heading2"/>
      </w:pPr>
      <w:r>
        <w:t xml:space="preserve">Operating subject links</w:t>
      </w:r>
    </w:p>
    <w:p>
      <w:pPr>
        <w:pStyle w:val="Compact"/>
        <w:numPr>
          <w:ilvl w:val="0"/>
          <w:numId w:val="1004"/>
        </w:numPr>
      </w:pPr>
      <w:r>
        <w:rPr>
          <w:b/>
          <w:bCs/>
        </w:rPr>
        <w:t xml:space="preserve">Describe a project and read source grounded guidance</w:t>
      </w:r>
      <w:r>
        <w:t xml:space="preserve"> </w:t>
      </w:r>
      <w:r>
        <w:t xml:space="preserve">—</w:t>
      </w:r>
      <w:r>
        <w:t xml:space="preserve"> </w:t>
      </w:r>
      <w:hyperlink w:anchor="X9136de5dddd8df2a0eb91eb17dfa2bb8e3e081a">
        <w:r>
          <w:rPr>
            <w:rStyle w:val="Hyperlink"/>
          </w:rPr>
          <w:t xml:space="preserve">Describe a project and read source grounded guidance</w:t>
        </w:r>
      </w:hyperlink>
      <w:r>
        <w:t xml:space="preserve">.</w:t>
      </w:r>
    </w:p>
    <w:bookmarkEnd w:id="79"/>
    <w:bookmarkEnd w:id="80"/>
    <w:bookmarkStart w:id="85"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4" w:name="workflow-subject-index"/>
    <w:p>
      <w:pPr>
        <w:pStyle w:val="Heading2"/>
      </w:pPr>
      <w:r>
        <w:t xml:space="preserve">Workflow subject index</w:t>
      </w:r>
    </w:p>
    <w:p>
      <w:pPr>
        <w:numPr>
          <w:ilvl w:val="0"/>
          <w:numId w:val="1005"/>
        </w:numPr>
      </w:pPr>
      <w:r>
        <w:rPr>
          <w:b/>
          <w:bCs/>
        </w:rPr>
        <w:t xml:space="preserve">Attach and verify</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r>
        <w:rPr>
          <w:b/>
          <w:bCs/>
        </w:rPr>
        <w:t xml:space="preserve">Import requirements</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Inspect each audience</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Prepare intake</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Read pathway guidance</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Save and review</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Select cited context</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hyperlink r:id="rId81">
        <w:r>
          <w:rPr>
            <w:rStyle w:val="Hyperlink"/>
          </w:rPr>
          <w:t xml:space="preserve">Source inventory and file hashes</w:t>
        </w:r>
      </w:hyperlink>
    </w:p>
    <w:p>
      <w:pPr>
        <w:numPr>
          <w:ilvl w:val="0"/>
          <w:numId w:val="1005"/>
        </w:numPr>
      </w:pPr>
      <w:hyperlink r:id="rId42">
        <w:r>
          <w:rPr>
            <w:rStyle w:val="Hyperlink"/>
          </w:rPr>
          <w:t xml:space="preserve">All component metadata</w:t>
        </w:r>
      </w:hyperlink>
    </w:p>
    <w:p>
      <w:pPr>
        <w:numPr>
          <w:ilvl w:val="0"/>
          <w:numId w:val="1005"/>
        </w:numPr>
      </w:pPr>
      <w:hyperlink r:id="rId82">
        <w:r>
          <w:rPr>
            <w:rStyle w:val="Hyperlink"/>
          </w:rPr>
          <w:t xml:space="preserve">Installed domain OpenAPI</w:t>
        </w:r>
      </w:hyperlink>
    </w:p>
    <w:p>
      <w:pPr>
        <w:numPr>
          <w:ilvl w:val="0"/>
          <w:numId w:val="1005"/>
        </w:numPr>
      </w:pPr>
      <w:hyperlink r:id="rId63">
        <w:r>
          <w:rPr>
            <w:rStyle w:val="Hyperlink"/>
          </w:rPr>
          <w:t xml:space="preserve">Workflow matrix</w:t>
        </w:r>
      </w:hyperlink>
    </w:p>
    <w:p>
      <w:pPr>
        <w:numPr>
          <w:ilvl w:val="0"/>
          <w:numId w:val="1005"/>
        </w:numPr>
      </w:pPr>
      <w:hyperlink r:id="rId83">
        <w:r>
          <w:rPr>
            <w:rStyle w:val="Hyperlink"/>
          </w:rPr>
          <w:t xml:space="preserve">Full AGPL text</w:t>
        </w:r>
      </w:hyperlink>
    </w:p>
    <w:bookmarkEnd w:id="84"/>
    <w:bookmarkEnd w:id="85"/>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4" Type="http://schemas.openxmlformats.org/officeDocument/2006/relationships/hyperlink" Target="../api/permitting-openapi.json" TargetMode="External"/><Relationship Id="rId53" Type="http://schemas.openxmlformats.org/officeDocument/2006/relationships/hyperlink" Target="../api/permitting.html" TargetMode="External"/><Relationship Id="rId83" Type="http://schemas.openxmlformats.org/officeDocument/2006/relationships/hyperlink" Target="../reference/AGPL-3.0.txt" TargetMode="External"/><Relationship Id="rId42" Type="http://schemas.openxmlformats.org/officeDocument/2006/relationships/hyperlink" Target="../reference/component-metadata.json" TargetMode="External"/><Relationship Id="rId82" Type="http://schemas.openxmlformats.org/officeDocument/2006/relationships/hyperlink" Target="../reference/desktop-domain-openapi.json" TargetMode="External"/><Relationship Id="rId50" Type="http://schemas.openxmlformats.org/officeDocument/2006/relationships/hyperlink" Target="../reference/examples/synthetic-requirement-bundle.json" TargetMode="External"/><Relationship Id="rId55" Type="http://schemas.openxmlformats.org/officeDocument/2006/relationships/hyperlink" Target="../reference/index.html" TargetMode="External"/><Relationship Id="rId58" Type="http://schemas.openxmlformats.org/officeDocument/2006/relationships/hyperlink" Target="../reference/mcp.html" TargetMode="External"/><Relationship Id="rId41" Type="http://schemas.openxmlformats.org/officeDocument/2006/relationships/hyperlink" Target="../reference/runtime-payload-lock.json" TargetMode="External"/><Relationship Id="rId64" Type="http://schemas.openxmlformats.org/officeDocument/2006/relationships/hyperlink" Target="../reference/sandbox-evidence-index.json" TargetMode="External"/><Relationship Id="rId81" Type="http://schemas.openxmlformats.org/officeDocument/2006/relationships/hyperlink" Target="../reference/source-inventory.json" TargetMode="External"/><Relationship Id="rId63" Type="http://schemas.openxmlformats.org/officeDocument/2006/relationships/hyperlink" Target="../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api/permitting-openapi.json" TargetMode="External"/><Relationship Id="rId53" Type="http://schemas.openxmlformats.org/officeDocument/2006/relationships/hyperlink" Target="../api/permitting.html" TargetMode="External"/><Relationship Id="rId83" Type="http://schemas.openxmlformats.org/officeDocument/2006/relationships/hyperlink" Target="../reference/AGPL-3.0.txt" TargetMode="External"/><Relationship Id="rId42" Type="http://schemas.openxmlformats.org/officeDocument/2006/relationships/hyperlink" Target="../reference/component-metadata.json" TargetMode="External"/><Relationship Id="rId82" Type="http://schemas.openxmlformats.org/officeDocument/2006/relationships/hyperlink" Target="../reference/desktop-domain-openapi.json" TargetMode="External"/><Relationship Id="rId50" Type="http://schemas.openxmlformats.org/officeDocument/2006/relationships/hyperlink" Target="../reference/examples/synthetic-requirement-bundle.json" TargetMode="External"/><Relationship Id="rId55" Type="http://schemas.openxmlformats.org/officeDocument/2006/relationships/hyperlink" Target="../reference/index.html" TargetMode="External"/><Relationship Id="rId58" Type="http://schemas.openxmlformats.org/officeDocument/2006/relationships/hyperlink" Target="../reference/mcp.html" TargetMode="External"/><Relationship Id="rId41" Type="http://schemas.openxmlformats.org/officeDocument/2006/relationships/hyperlink" Target="../reference/runtime-payload-lock.json" TargetMode="External"/><Relationship Id="rId64" Type="http://schemas.openxmlformats.org/officeDocument/2006/relationships/hyperlink" Target="../reference/sandbox-evidence-index.json" TargetMode="External"/><Relationship Id="rId81" Type="http://schemas.openxmlformats.org/officeDocument/2006/relationships/hyperlink" Target="../reference/source-inventory.json" TargetMode="External"/><Relationship Id="rId63" Type="http://schemas.openxmlformats.org/officeDocument/2006/relationships/hyperlink" Target="../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Permitting Manual</dc:title>
  <dc:creator/>
  <cp:keywords/>
  <dcterms:created xsi:type="dcterms:W3CDTF">2026-10-30T16:19:17Z</dcterms:created>
  <dcterms:modified xsi:type="dcterms:W3CDTF">2026-10-30T16:19:17Z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