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Records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X76b967ecaf2ea2beb74ae290cac52c3299e8aac">
        <w:r>
          <w:rPr>
            <w:rStyle w:val="Hyperlink"/>
          </w:rPr>
          <w:t xml:space="preserve">Fees messages notifications and local intake</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Records helps records officers, clerks and authorized reviewers. Records manages request intake, responsive evidence, review and the final response. Material received from another Townlight product is evidence for a request. Records separately controls release decisions, response approval, exports and fulfillment.</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civicrecords-ai 1.8.0.dev1</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1" w:name="daily-workflow"/>
    <w:p>
      <w:pPr>
        <w:pStyle w:val="Heading1"/>
      </w:pPr>
      <w:r>
        <w:t xml:space="preserve">Daily workflow</w:t>
      </w:r>
    </w:p>
    <w:bookmarkStart w:id="23" w:name="workflow-1"/>
    <w:p>
      <w:pPr>
        <w:pStyle w:val="Heading2"/>
      </w:pPr>
      <w:r>
        <w:t xml:space="preserve">1 Receive and identify the request</w:t>
      </w:r>
    </w:p>
    <w:p>
      <w:pPr>
        <w:pStyle w:val="FirstParagraph"/>
      </w:pPr>
      <w:r>
        <w:t xml:space="preserve">Create the request with its requester, description and recorded deadline basis. Save it and retain the request identifier. Record assignment, clarification and work in the request history.</w:t>
      </w:r>
    </w:p>
    <w:bookmarkEnd w:id="23"/>
    <w:bookmarkStart w:id="24" w:name="workflow-2"/>
    <w:p>
      <w:pPr>
        <w:pStyle w:val="Heading2"/>
      </w:pPr>
      <w:r>
        <w:t xml:space="preserve">2 Find responsive evidence</w:t>
      </w:r>
    </w:p>
    <w:p>
      <w:pPr>
        <w:pStyle w:val="FirstParagraph"/>
      </w:pPr>
      <w:r>
        <w:t xml:space="preserve">Search only the permitted sources. Inspect the source title, date, citation, visibility and version before attaching responsive material. Open the saved attachment to confirm that it is the intended evidence.</w:t>
      </w:r>
    </w:p>
    <w:bookmarkEnd w:id="24"/>
    <w:bookmarkStart w:id="25" w:name="workflow-3"/>
    <w:p>
      <w:pPr>
        <w:pStyle w:val="Heading2"/>
      </w:pPr>
      <w:r>
        <w:t xml:space="preserve">3 Preserve the original</w:t>
      </w:r>
    </w:p>
    <w:p>
      <w:pPr>
        <w:pStyle w:val="FirstParagraph"/>
      </w:pPr>
      <w:r>
        <w:t xml:space="preserve">Keep original bytes and their hash. Add a separately reviewed release-ready or redacted copy when needed. Renaming a private file does not remove private content.</w:t>
      </w:r>
    </w:p>
    <w:bookmarkEnd w:id="25"/>
    <w:bookmarkStart w:id="26" w:name="workflow-4"/>
    <w:p>
      <w:pPr>
        <w:pStyle w:val="Heading2"/>
      </w:pPr>
      <w:r>
        <w:t xml:space="preserve">4 Record each release decision</w:t>
      </w:r>
    </w:p>
    <w:p>
      <w:pPr>
        <w:pStyle w:val="FirstParagraph"/>
      </w:pPr>
      <w:r>
        <w:t xml:space="preserve">Explicitly record release, redact or exempt for the relevant document, with the applicable reason and source. Do not treat an AI suggestion or another product’s review as the Records legal decision.</w:t>
      </w:r>
    </w:p>
    <w:bookmarkEnd w:id="26"/>
    <w:bookmarkStart w:id="27" w:name="workflow-5"/>
    <w:p>
      <w:pPr>
        <w:pStyle w:val="Heading2"/>
      </w:pPr>
      <w:r>
        <w:t xml:space="preserve">5 Draft and approve</w:t>
      </w:r>
    </w:p>
    <w:p>
      <w:pPr>
        <w:pStyle w:val="FirstParagraph"/>
      </w:pPr>
      <w:r>
        <w:t xml:space="preserve">Draft the response and review the selected attachments. Record approval of the exact response text. Editing that text changes its hash and requires a new approval.</w:t>
      </w:r>
    </w:p>
    <w:bookmarkEnd w:id="27"/>
    <w:bookmarkStart w:id="28" w:name="workflow-6"/>
    <w:p>
      <w:pPr>
        <w:pStyle w:val="Heading2"/>
      </w:pPr>
      <w:r>
        <w:t xml:space="preserve">6 Export both artifacts</w:t>
      </w:r>
    </w:p>
    <w:p>
      <w:pPr>
        <w:pStyle w:val="FirstParagraph"/>
      </w:pPr>
      <w:r>
        <w:t xml:space="preserve">Export the approved response and the release package. If release is refused, inspect the missing decision, approval or source-permission message. Resolve that condition before trying again.</w:t>
      </w:r>
    </w:p>
    <w:bookmarkEnd w:id="28"/>
    <w:bookmarkStart w:id="29" w:name="workflow-7"/>
    <w:p>
      <w:pPr>
        <w:pStyle w:val="Heading2"/>
      </w:pPr>
      <w:r>
        <w:t xml:space="preserve">7 Fulfill and retain</w:t>
      </w:r>
    </w:p>
    <w:p>
      <w:pPr>
        <w:pStyle w:val="FirstParagraph"/>
      </w:pPr>
      <w:r>
        <w:t xml:space="preserve">Use the explicit fulfillment action only after checking the outgoing artifacts. Retain the response, package and history. A preview, attachment or export by itself does not fulfill the request.</w:t>
      </w:r>
    </w:p>
    <w:bookmarkEnd w:id="29"/>
    <w:bookmarkStart w:id="30"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0"/>
    <w:bookmarkEnd w:id="31"/>
    <w:bookmarkStart w:id="33" w:name="connected-workflows"/>
    <w:p>
      <w:pPr>
        <w:pStyle w:val="Heading1"/>
      </w:pPr>
      <w:r>
        <w:t xml:space="preserve">Connected workflows</w:t>
      </w:r>
    </w:p>
    <w:p>
      <w:pPr>
        <w:pStyle w:val="FirstParagraph"/>
      </w:pPr>
      <w:r>
        <w:t xml:space="preserve">Receives selected evidence from Meetings, Code, Zoning, Planning, Permitting, Inspections and Station. Station originals are locked private evidence. A product’s public copy remains subject to the Records response workflow.</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A request description and requester, authorized source documents, explicit cross-product evidence selections and a reviewer’s decisions.</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A retained request history, reviewed attachments, approved response text and a release package after the applicable release checks.</w:t>
            </w:r>
          </w:p>
        </w:tc>
      </w:tr>
    </w:tbl>
    <w:bookmarkStart w:id="32" w:name="product-boundary"/>
    <w:p>
      <w:pPr>
        <w:pStyle w:val="Heading2"/>
      </w:pPr>
      <w:r>
        <w:t xml:space="preserve">Product boundary</w:t>
      </w:r>
    </w:p>
    <w:p>
      <w:pPr>
        <w:pStyle w:val="FirstParagraph"/>
      </w:pPr>
      <w:r>
        <w:t xml:space="preserve">The selected staff workflow is accepted. A resident internet deployment, every jurisdiction’s requirements, complete federation and exhaustive redaction/accessibility behavior are not certified by that acceptance. SMTP code exists; logging a message or outbox entry does not establish email delivery.</w:t>
      </w:r>
    </w:p>
    <w:bookmarkEnd w:id="32"/>
    <w:bookmarkEnd w:id="33"/>
    <w:bookmarkStart w:id="37" w:name="architecture"/>
    <w:p>
      <w:pPr>
        <w:pStyle w:val="Heading1"/>
      </w:pPr>
      <w:r>
        <w:t xml:space="preserve">Architecture</w:t>
      </w:r>
    </w:p>
    <w:p>
      <w:pPr>
        <w:pStyle w:val="CaptionedFigure"/>
      </w:pPr>
      <w:r>
        <w:drawing>
          <wp:inline>
            <wp:extent cx="6489700" cy="2298435"/>
            <wp:effectExtent b="0" l="0" r="0" t="0"/>
            <wp:docPr descr="Townlight Records architecture" title="" id="35" name="Picture"/>
            <a:graphic>
              <a:graphicData uri="http://schemas.openxmlformats.org/drawingml/2006/picture">
                <pic:pic>
                  <pic:nvPicPr>
                    <pic:cNvPr descr="C:/Users/scott/Documents/Codex/2026-10-26/read-this-and-check-the-software/outputs/townlight-beta-1-documentation/site/assets/word/records-architecture.png" id="36" name="Picture"/>
                    <pic:cNvPicPr>
                      <a:picLocks noChangeArrowheads="1" noChangeAspect="1"/>
                    </pic:cNvPicPr>
                  </pic:nvPicPr>
                  <pic:blipFill>
                    <a:blip r:embed="rId34"/>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Records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7"/>
    <w:bookmarkStart w:id="42" w:name="X76b967ecaf2ea2beb74ae290cac52c3299e8aac"/>
    <w:p>
      <w:pPr>
        <w:pStyle w:val="Heading1"/>
      </w:pPr>
      <w:r>
        <w:t xml:space="preserve">Fees messages notifications and local intake</w:t>
      </w:r>
    </w:p>
    <w:bookmarkStart w:id="38" w:name="record-a-fee-line-or-waiver"/>
    <w:p>
      <w:pPr>
        <w:pStyle w:val="Heading2"/>
      </w:pPr>
      <w:r>
        <w:t xml:space="preserve">Record a fee line or waiver</w:t>
      </w:r>
    </w:p>
    <w:p>
      <w:pPr>
        <w:pStyle w:val="FirstParagraph"/>
      </w:pPr>
      <w:r>
        <w:t xml:space="preserve">Open the saved request’s existing fee controls. Enter the description, adopted schedule/source basis and exact amount in dollars and cents. For example, a synthetic line can use description “Synthetic reproduction,” basis “Fictional test schedule” and amount</w:t>
      </w:r>
      <w:r>
        <w:t xml:space="preserve"> </w:t>
      </w:r>
      <w:r>
        <w:rPr>
          <w:rStyle w:val="VerbatimChar"/>
        </w:rPr>
        <w:t xml:space="preserve">12.50</w:t>
      </w:r>
      <w:r>
        <w:t xml:space="preserve">. Save and reopen the request. Inspect</w:t>
      </w:r>
      <w:r>
        <w:t xml:space="preserve"> </w:t>
      </w:r>
      <w:r>
        <w:rPr>
          <w:rStyle w:val="VerbatimChar"/>
        </w:rPr>
        <w:t xml:space="preserve">fee_line_items</w:t>
      </w:r>
      <w:r>
        <w:t xml:space="preserve">,</w:t>
      </w:r>
      <w:r>
        <w:t xml:space="preserve"> </w:t>
      </w:r>
      <w:r>
        <w:rPr>
          <w:rStyle w:val="VerbatimChar"/>
        </w:rPr>
        <w:t xml:space="preserve">fee_status</w:t>
      </w:r>
      <w:r>
        <w:t xml:space="preserve"> </w:t>
      </w:r>
      <w:r>
        <w:t xml:space="preserve">and the resulting estimate. The native line validator accepts positive exact cents; additional fractional cents, negative values and a zero line are refused.</w:t>
      </w:r>
    </w:p>
    <w:p>
      <w:pPr>
        <w:pStyle w:val="BodyText"/>
      </w:pPr>
      <w:r>
        <w:t xml:space="preserve">To waive the request fee, record the actual waiver reason and save through the waiver control. Reopen the request and confirm waived status and the zero-dollar waiver explanation. Adding a later line preserves the waiver in the current workflow; do not assume it reinstates a payable balance. These are Records workflow amounts and decisions, not an official permit-fee calculator or payment service.</w:t>
      </w:r>
    </w:p>
    <w:p>
      <w:pPr>
        <w:pStyle w:val="BodyText"/>
      </w:pPr>
      <w:r>
        <w:t xml:space="preserve">A trusted native client uses</w:t>
      </w:r>
      <w:r>
        <w:t xml:space="preserve"> </w:t>
      </w:r>
      <w:r>
        <w:rPr>
          <w:rStyle w:val="VerbatimChar"/>
        </w:rPr>
        <w:t xml:space="preserve">records_domain_request</w:t>
      </w:r>
      <w:r>
        <w:t xml:space="preserve"> </w:t>
      </w:r>
      <w:r>
        <w:t xml:space="preserve">with</w:t>
      </w:r>
      <w:r>
        <w:t xml:space="preserve"> </w:t>
      </w:r>
      <w:r>
        <w:rPr>
          <w:rStyle w:val="VerbatimChar"/>
        </w:rPr>
        <w:t xml:space="preserve">operation: 'apply'</w:t>
      </w:r>
      <w:r>
        <w:t xml:space="preserve">, the real</w:t>
      </w:r>
      <w:r>
        <w:t xml:space="preserve"> </w:t>
      </w:r>
      <w:r>
        <w:rPr>
          <w:rStyle w:val="VerbatimChar"/>
        </w:rPr>
        <w:t xml:space="preserve">request_id</w:t>
      </w:r>
      <w:r>
        <w:t xml:space="preserve">, and</w:t>
      </w:r>
      <w:r>
        <w:t xml:space="preserve"> </w:t>
      </w:r>
      <w:r>
        <w:rPr>
          <w:rStyle w:val="VerbatimChar"/>
        </w:rPr>
        <w:t xml:space="preserve">action</w:t>
      </w:r>
      <w:r>
        <w:t xml:space="preserve">/</w:t>
      </w:r>
      <w:r>
        <w:rPr>
          <w:rStyle w:val="VerbatimChar"/>
        </w:rPr>
        <w:t xml:space="preserve">payload</w:t>
      </w:r>
      <w:r>
        <w:t xml:space="preserve"> </w:t>
      </w:r>
      <w:r>
        <w:t xml:space="preserve">fields from the fragments below at the same level as</w:t>
      </w:r>
      <w:r>
        <w:t xml:space="preserve"> </w:t>
      </w:r>
      <w:r>
        <w:rPr>
          <w:rStyle w:val="VerbatimChar"/>
        </w:rPr>
        <w:t xml:space="preserve">operation</w:t>
      </w:r>
      <w:r>
        <w:t xml:space="preserve"> </w:t>
      </w:r>
      <w:r>
        <w:t xml:space="preserve">and</w:t>
      </w:r>
      <w:r>
        <w:t xml:space="preserve"> </w:t>
      </w:r>
      <w:r>
        <w:rPr>
          <w:rStyle w:val="VerbatimChar"/>
        </w:rPr>
        <w:t xml:space="preserve">request_id</w:t>
      </w:r>
      <w:r>
        <w:t xml:space="preserve">. Examples of command payloads follow; IDs and permissions still come from the signed-in synthetic account.</w:t>
      </w:r>
    </w:p>
    <w:p>
      <w:pPr>
        <w:pStyle w:val="SourceCode"/>
      </w:pPr>
      <w:r>
        <w:rPr>
          <w:rStyle w:val="FunctionTok"/>
        </w:rPr>
        <w:t xml:space="preserve">{</w:t>
      </w:r>
      <w:r>
        <w:rPr>
          <w:rStyle w:val="DataTypeTok"/>
        </w:rPr>
        <w:t xml:space="preserve">"action"</w:t>
      </w:r>
      <w:r>
        <w:rPr>
          <w:rStyle w:val="FunctionTok"/>
        </w:rPr>
        <w:t xml:space="preserve">:</w:t>
      </w:r>
      <w:r>
        <w:rPr>
          <w:rStyle w:val="StringTok"/>
        </w:rPr>
        <w:t xml:space="preserve">"add-records-fee-line"</w:t>
      </w:r>
      <w:r>
        <w:rPr>
          <w:rStyle w:val="FunctionTok"/>
        </w:rPr>
        <w:t xml:space="preserve">,</w:t>
      </w:r>
      <w:r>
        <w:rPr>
          <w:rStyle w:val="DataTypeTok"/>
        </w:rPr>
        <w:t xml:space="preserve">"payload"</w:t>
      </w:r>
      <w:r>
        <w:rPr>
          <w:rStyle w:val="FunctionTok"/>
        </w:rPr>
        <w:t xml:space="preserve">:{</w:t>
      </w:r>
      <w:r>
        <w:rPr>
          <w:rStyle w:val="DataTypeTok"/>
        </w:rPr>
        <w:t xml:space="preserve">"feeLineDescription"</w:t>
      </w:r>
      <w:r>
        <w:rPr>
          <w:rStyle w:val="FunctionTok"/>
        </w:rPr>
        <w:t xml:space="preserve">:</w:t>
      </w:r>
      <w:r>
        <w:rPr>
          <w:rStyle w:val="StringTok"/>
        </w:rPr>
        <w:t xml:space="preserve">"Synthetic reproduction"</w:t>
      </w:r>
      <w:r>
        <w:rPr>
          <w:rStyle w:val="FunctionTok"/>
        </w:rPr>
        <w:t xml:space="preserve">,</w:t>
      </w:r>
      <w:r>
        <w:rPr>
          <w:rStyle w:val="DataTypeTok"/>
        </w:rPr>
        <w:t xml:space="preserve">"feeScheduleBasis"</w:t>
      </w:r>
      <w:r>
        <w:rPr>
          <w:rStyle w:val="FunctionTok"/>
        </w:rPr>
        <w:t xml:space="preserve">:</w:t>
      </w:r>
      <w:r>
        <w:rPr>
          <w:rStyle w:val="StringTok"/>
        </w:rPr>
        <w:t xml:space="preserve">"Fictional test schedule"</w:t>
      </w:r>
      <w:r>
        <w:rPr>
          <w:rStyle w:val="FunctionTok"/>
        </w:rPr>
        <w:t xml:space="preserve">,</w:t>
      </w:r>
      <w:r>
        <w:rPr>
          <w:rStyle w:val="DataTypeTok"/>
        </w:rPr>
        <w:t xml:space="preserve">"feeLineAmount"</w:t>
      </w:r>
      <w:r>
        <w:rPr>
          <w:rStyle w:val="FunctionTok"/>
        </w:rPr>
        <w:t xml:space="preserve">:</w:t>
      </w:r>
      <w:r>
        <w:rPr>
          <w:rStyle w:val="StringTok"/>
        </w:rPr>
        <w:t xml:space="preserve">"12.50"</w:t>
      </w:r>
      <w:r>
        <w:rPr>
          <w:rStyle w:val="FunctionTok"/>
        </w:rPr>
        <w:t xml:space="preserve">}}</w:t>
      </w:r>
    </w:p>
    <w:p>
      <w:pPr>
        <w:pStyle w:val="SourceCode"/>
      </w:pPr>
      <w:r>
        <w:rPr>
          <w:rStyle w:val="FunctionTok"/>
        </w:rPr>
        <w:t xml:space="preserve">{</w:t>
      </w:r>
      <w:r>
        <w:rPr>
          <w:rStyle w:val="DataTypeTok"/>
        </w:rPr>
        <w:t xml:space="preserve">"action"</w:t>
      </w:r>
      <w:r>
        <w:rPr>
          <w:rStyle w:val="FunctionTok"/>
        </w:rPr>
        <w:t xml:space="preserve">:</w:t>
      </w:r>
      <w:r>
        <w:rPr>
          <w:rStyle w:val="StringTok"/>
        </w:rPr>
        <w:t xml:space="preserve">"waive-records-fee"</w:t>
      </w:r>
      <w:r>
        <w:rPr>
          <w:rStyle w:val="FunctionTok"/>
        </w:rPr>
        <w:t xml:space="preserve">,</w:t>
      </w:r>
      <w:r>
        <w:rPr>
          <w:rStyle w:val="DataTypeTok"/>
        </w:rPr>
        <w:t xml:space="preserve">"payload"</w:t>
      </w:r>
      <w:r>
        <w:rPr>
          <w:rStyle w:val="FunctionTok"/>
        </w:rPr>
        <w:t xml:space="preserve">:{</w:t>
      </w:r>
      <w:r>
        <w:rPr>
          <w:rStyle w:val="DataTypeTok"/>
        </w:rPr>
        <w:t xml:space="preserve">"feeWaiverReason"</w:t>
      </w:r>
      <w:r>
        <w:rPr>
          <w:rStyle w:val="FunctionTok"/>
        </w:rPr>
        <w:t xml:space="preserve">:</w:t>
      </w:r>
      <w:r>
        <w:rPr>
          <w:rStyle w:val="StringTok"/>
        </w:rPr>
        <w:t xml:space="preserve">"Synthetic public-interest exercise"</w:t>
      </w:r>
      <w:r>
        <w:rPr>
          <w:rStyle w:val="FunctionTok"/>
        </w:rPr>
        <w:t xml:space="preserve">}}</w:t>
      </w:r>
    </w:p>
    <w:p>
      <w:pPr>
        <w:pStyle w:val="FirstParagraph"/>
      </w:pPr>
      <w:r>
        <w:t xml:space="preserve">Use the exact outer apply contract in the API reference rather than sending these command fragments to an arbitrary URL. After either operation, read the request again; a saved amount does not approve or fulfill the response.</w:t>
      </w:r>
    </w:p>
    <w:bookmarkEnd w:id="38"/>
    <w:bookmarkStart w:id="39" w:name="save-staff-and-requester-messages"/>
    <w:p>
      <w:pPr>
        <w:pStyle w:val="Heading2"/>
      </w:pPr>
      <w:r>
        <w:t xml:space="preserve">Save staff and requester messages</w:t>
      </w:r>
    </w:p>
    <w:p>
      <w:pPr>
        <w:pStyle w:val="FirstParagraph"/>
      </w:pPr>
      <w:r>
        <w:t xml:space="preserve">In the saved request, enter a message and use its explicit send/save action. The native</w:t>
      </w:r>
      <w:r>
        <w:t xml:space="preserve"> </w:t>
      </w:r>
      <w:r>
        <w:rPr>
          <w:rStyle w:val="VerbatimChar"/>
        </w:rPr>
        <w:t xml:space="preserve">add-records-message</w:t>
      </w:r>
      <w:r>
        <w:t xml:space="preserve"> </w:t>
      </w:r>
      <w:r>
        <w:t xml:space="preserve">command’s payload uses</w:t>
      </w:r>
      <w:r>
        <w:t xml:space="preserve"> </w:t>
      </w:r>
      <w:r>
        <w:rPr>
          <w:rStyle w:val="VerbatimChar"/>
        </w:rPr>
        <w:t xml:space="preserve">requestMessageBody</w:t>
      </w:r>
      <w:r>
        <w:t xml:space="preserve">, for example “Synthetic clarification received.” Inspect the retained message/timeline and intended audience before repeating the action. A persisted staff message or locally queued notification does not prove an email reached a requester. For a clarification requiring a response, retain the clarification note and keep the request’s actual status distinct from completion.</w:t>
      </w:r>
    </w:p>
    <w:bookmarkEnd w:id="39"/>
    <w:bookmarkStart w:id="40" w:name="X950cc1dac1b4e51bbf9fdce43224b2c25fb5c67"/>
    <w:p>
      <w:pPr>
        <w:pStyle w:val="Heading2"/>
      </w:pPr>
      <w:r>
        <w:t xml:space="preserve">Configure templates and inspect the outbox</w:t>
      </w:r>
    </w:p>
    <w:p>
      <w:pPr>
        <w:pStyle w:val="FirstParagraph"/>
      </w:pPr>
      <w:r>
        <w:t xml:space="preserve">Administrators use the existing</w:t>
      </w:r>
      <w:r>
        <w:t xml:space="preserve"> </w:t>
      </w:r>
      <w:r>
        <w:rPr>
          <w:rStyle w:val="VerbatimChar"/>
        </w:rPr>
        <w:t xml:space="preserve">/notifications/templates</w:t>
      </w:r>
      <w:r>
        <w:t xml:space="preserve"> </w:t>
      </w:r>
      <w:r>
        <w:t xml:space="preserve">create/list/update API under the application’s real authenticated authority. A template supplies</w:t>
      </w:r>
      <w:r>
        <w:t xml:space="preserve"> </w:t>
      </w:r>
      <w:r>
        <w:rPr>
          <w:rStyle w:val="VerbatimChar"/>
        </w:rPr>
        <w:t xml:space="preserve">event_type</w:t>
      </w:r>
      <w:r>
        <w:t xml:space="preserve">,</w:t>
      </w:r>
      <w:r>
        <w:t xml:space="preserve"> </w:t>
      </w:r>
      <w:r>
        <w:rPr>
          <w:rStyle w:val="VerbatimChar"/>
        </w:rPr>
        <w:t xml:space="preserve">channel</w:t>
      </w:r>
      <w:r>
        <w:t xml:space="preserve"> </w:t>
      </w:r>
      <w:r>
        <w:t xml:space="preserve">(default</w:t>
      </w:r>
      <w:r>
        <w:t xml:space="preserve"> </w:t>
      </w:r>
      <w:r>
        <w:rPr>
          <w:rStyle w:val="VerbatimChar"/>
        </w:rPr>
        <w:t xml:space="preserve">email</w:t>
      </w:r>
      <w:r>
        <w:t xml:space="preserve">),</w:t>
      </w:r>
      <w:r>
        <w:t xml:space="preserve"> </w:t>
      </w:r>
      <w:r>
        <w:rPr>
          <w:rStyle w:val="VerbatimChar"/>
        </w:rPr>
        <w:t xml:space="preserve">subject_template</w:t>
      </w:r>
      <w:r>
        <w:t xml:space="preserve"> </w:t>
      </w:r>
      <w:r>
        <w:t xml:space="preserve">and</w:t>
      </w:r>
      <w:r>
        <w:t xml:space="preserve"> </w:t>
      </w:r>
      <w:r>
        <w:rPr>
          <w:rStyle w:val="VerbatimChar"/>
        </w:rPr>
        <w:t xml:space="preserve">body_template</w:t>
      </w:r>
      <w:r>
        <w:t xml:space="preserve">. Use the event name actually produced by the selected workflow and the variables it supplies; template existence alone does not cause that event to be emitted. Staff inspect</w:t>
      </w:r>
      <w:r>
        <w:t xml:space="preserve"> </w:t>
      </w:r>
      <w:r>
        <w:rPr>
          <w:rStyle w:val="VerbatimChar"/>
        </w:rPr>
        <w:t xml:space="preserve">/notifications/log</w:t>
      </w:r>
      <w:r>
        <w:t xml:space="preserve"> </w:t>
      </w:r>
      <w:r>
        <w:t xml:space="preserve">for recipient, rendered content, status and error information.</w:t>
      </w:r>
    </w:p>
    <w:p>
      <w:pPr>
        <w:pStyle w:val="BodyText"/>
      </w:pPr>
      <w:r>
        <w:t xml:space="preserve">The existing delivery function is</w:t>
      </w:r>
      <w:r>
        <w:t xml:space="preserve"> </w:t>
      </w:r>
      <w:r>
        <w:rPr>
          <w:rStyle w:val="VerbatimChar"/>
        </w:rPr>
        <w:t xml:space="preserve">app.notifications.smtp_delivery.deliver_queued_notifications(session)</w:t>
      </w:r>
      <w:r>
        <w:t xml:space="preserve">. A technical operator invokes it only in the matching configured application environment, with an application-owned async session. It processes</w:t>
      </w:r>
      <w:r>
        <w:t xml:space="preserve"> </w:t>
      </w:r>
      <w:r>
        <w:rPr>
          <w:b/>
          <w:bCs/>
        </w:rPr>
        <w:t xml:space="preserve">queued email</w:t>
      </w:r>
      <w:r>
        <w:t xml:space="preserve"> </w:t>
      </w:r>
      <w:r>
        <w:t xml:space="preserve">entries, commits</w:t>
      </w:r>
      <w:r>
        <w:t xml:space="preserve"> </w:t>
      </w:r>
      <w:r>
        <w:rPr>
          <w:rStyle w:val="VerbatimChar"/>
        </w:rPr>
        <w:t xml:space="preserve">sent</w:t>
      </w:r>
      <w:r>
        <w:t xml:space="preserve"> </w:t>
      </w:r>
      <w:r>
        <w:t xml:space="preserve">or</w:t>
      </w:r>
      <w:r>
        <w:t xml:space="preserve"> </w:t>
      </w:r>
      <w:r>
        <w:rPr>
          <w:rStyle w:val="VerbatimChar"/>
        </w:rPr>
        <w:t xml:space="preserve">failed</w:t>
      </w:r>
      <w:r>
        <w:t xml:space="preserve"> </w:t>
      </w:r>
      <w:r>
        <w:t xml:space="preserve">status, and returns counts. Missing SMTP configuration returns</w:t>
      </w:r>
      <w:r>
        <w:t xml:space="preserve"> </w:t>
      </w:r>
      <w:r>
        <w:rPr>
          <w:rStyle w:val="VerbatimChar"/>
        </w:rPr>
        <w:t xml:space="preserve">reason: smtp_not_configured</w:t>
      </w:r>
      <w:r>
        <w:t xml:space="preserve">. Missing rendered subject/body or recipient is a failure, not delivery.</w:t>
      </w:r>
    </w:p>
    <w:p>
      <w:pPr>
        <w:pStyle w:val="BodyText"/>
      </w:pPr>
      <w:r>
        <w:t xml:space="preserve">SMTP settings are</w:t>
      </w:r>
      <w:r>
        <w:t xml:space="preserve"> </w:t>
      </w:r>
      <w:r>
        <w:rPr>
          <w:rStyle w:val="VerbatimChar"/>
        </w:rPr>
        <w:t xml:space="preserve">SMTP_HOST</w:t>
      </w:r>
      <w:r>
        <w:t xml:space="preserve">,</w:t>
      </w:r>
      <w:r>
        <w:t xml:space="preserve"> </w:t>
      </w:r>
      <w:r>
        <w:rPr>
          <w:rStyle w:val="VerbatimChar"/>
        </w:rPr>
        <w:t xml:space="preserve">SMTP_PORT</w:t>
      </w:r>
      <w:r>
        <w:t xml:space="preserve">,</w:t>
      </w:r>
      <w:r>
        <w:t xml:space="preserve"> </w:t>
      </w:r>
      <w:r>
        <w:rPr>
          <w:rStyle w:val="VerbatimChar"/>
        </w:rPr>
        <w:t xml:space="preserve">SMTP_USERNAME</w:t>
      </w:r>
      <w:r>
        <w:t xml:space="preserve">,</w:t>
      </w:r>
      <w:r>
        <w:t xml:space="preserve"> </w:t>
      </w:r>
      <w:r>
        <w:rPr>
          <w:rStyle w:val="VerbatimChar"/>
        </w:rPr>
        <w:t xml:space="preserve">SMTP_PASSWORD</w:t>
      </w:r>
      <w:r>
        <w:t xml:space="preserve">,</w:t>
      </w:r>
      <w:r>
        <w:t xml:space="preserve"> </w:t>
      </w:r>
      <w:r>
        <w:rPr>
          <w:rStyle w:val="VerbatimChar"/>
        </w:rPr>
        <w:t xml:space="preserve">SMTP_FROM_EMAIL</w:t>
      </w:r>
      <w:r>
        <w:t xml:space="preserve"> </w:t>
      </w:r>
      <w:r>
        <w:t xml:space="preserve">and</w:t>
      </w:r>
      <w:r>
        <w:t xml:space="preserve"> </w:t>
      </w:r>
      <w:r>
        <w:rPr>
          <w:rStyle w:val="VerbatimChar"/>
        </w:rPr>
        <w:t xml:space="preserve">SMTP_USE_TLS</w:t>
      </w:r>
      <w:r>
        <w:t xml:space="preserve">. Keep secrets in protected process configuration. Inspect the actual setting names/defaults in that reference before selecting a mail server. This beta has no automatic failed-entry retry or native “Retry email” button: failed rows are not selected by the queued-only delivery loop. Preserve errors and resolve the cause through the owning deployment’s supported process; do not invent a retry or reset database rows by hand. The native notification “sent” acknowledgement is not an SMTP transmission receipt. External mail remains a separately selected deployment configuration, not a requirement to send email during synthetic development.</w:t>
      </w:r>
    </w:p>
    <w:bookmarkEnd w:id="40"/>
    <w:bookmarkStart w:id="41" w:name="X13ca1f09f0bb4eabec9d13d9fcfdb8b1f1c2489"/>
    <w:p>
      <w:pPr>
        <w:pStyle w:val="Heading2"/>
      </w:pPr>
      <w:r>
        <w:t xml:space="preserve">Exercise existing local public intake and tracking</w:t>
      </w:r>
    </w:p>
    <w:p>
      <w:pPr>
        <w:pStyle w:val="FirstParagraph"/>
      </w:pPr>
      <w:r>
        <w:t xml:space="preserve">This is the existing local contract, not a new internet portal deployment. Under the application’s configured portal posture, a synthetic client can submit</w:t>
      </w:r>
      <w:r>
        <w:t xml:space="preserve"> </w:t>
      </w:r>
      <w:r>
        <w:rPr>
          <w:rStyle w:val="VerbatimChar"/>
        </w:rPr>
        <w:t xml:space="preserve">POST /desktop/v1/public/requests</w:t>
      </w:r>
      <w:r>
        <w:t xml:space="preserve"> </w:t>
      </w:r>
      <w:r>
        <w:t xml:space="preserve">with:</w:t>
      </w:r>
    </w:p>
    <w:p>
      <w:pPr>
        <w:pStyle w:val="SourceCode"/>
      </w:pPr>
      <w:r>
        <w:rPr>
          <w:rStyle w:val="FunctionTok"/>
        </w:rPr>
        <w:t xml:space="preserve">{</w:t>
      </w:r>
      <w:r>
        <w:rPr>
          <w:rStyle w:val="DataTypeTok"/>
        </w:rPr>
        <w:t xml:space="preserve">"requester"</w:t>
      </w:r>
      <w:r>
        <w:rPr>
          <w:rStyle w:val="FunctionTok"/>
        </w:rPr>
        <w:t xml:space="preserve">:</w:t>
      </w:r>
      <w:r>
        <w:rPr>
          <w:rStyle w:val="StringTok"/>
        </w:rPr>
        <w:t xml:space="preserve">"Synthetic resident"</w:t>
      </w:r>
      <w:r>
        <w:rPr>
          <w:rStyle w:val="FunctionTok"/>
        </w:rPr>
        <w:t xml:space="preserve">,</w:t>
      </w:r>
      <w:r>
        <w:rPr>
          <w:rStyle w:val="DataTypeTok"/>
        </w:rPr>
        <w:t xml:space="preserve">"requesterContact"</w:t>
      </w:r>
      <w:r>
        <w:rPr>
          <w:rStyle w:val="FunctionTok"/>
        </w:rPr>
        <w:t xml:space="preserve">:</w:t>
      </w:r>
      <w:r>
        <w:rPr>
          <w:rStyle w:val="StringTok"/>
        </w:rPr>
        <w:t xml:space="preserve">"synthetic@example.invalid"</w:t>
      </w:r>
      <w:r>
        <w:rPr>
          <w:rStyle w:val="FunctionTok"/>
        </w:rPr>
        <w:t xml:space="preserve">,</w:t>
      </w:r>
      <w:r>
        <w:rPr>
          <w:rStyle w:val="DataTypeTok"/>
        </w:rPr>
        <w:t xml:space="preserve">"summary"</w:t>
      </w:r>
      <w:r>
        <w:rPr>
          <w:rStyle w:val="FunctionTok"/>
        </w:rPr>
        <w:t xml:space="preserve">:</w:t>
      </w:r>
      <w:r>
        <w:rPr>
          <w:rStyle w:val="StringTok"/>
        </w:rPr>
        <w:t xml:space="preserve">"Synthetic minutes request"</w:t>
      </w:r>
      <w:r>
        <w:rPr>
          <w:rStyle w:val="FunctionTok"/>
        </w:rPr>
        <w:t xml:space="preserve">,</w:t>
      </w:r>
      <w:r>
        <w:rPr>
          <w:rStyle w:val="DataTypeTok"/>
        </w:rPr>
        <w:t xml:space="preserve">"deadline"</w:t>
      </w:r>
      <w:r>
        <w:rPr>
          <w:rStyle w:val="FunctionTok"/>
        </w:rPr>
        <w:t xml:space="preserve">:</w:t>
      </w:r>
      <w:r>
        <w:rPr>
          <w:rStyle w:val="StringTok"/>
        </w:rPr>
        <w:t xml:space="preserve">""</w:t>
      </w:r>
      <w:r>
        <w:rPr>
          <w:rStyle w:val="FunctionTok"/>
        </w:rPr>
        <w:t xml:space="preserve">}</w:t>
      </w:r>
    </w:p>
    <w:p>
      <w:pPr>
        <w:pStyle w:val="FirstParagraph"/>
      </w:pPr>
      <w:r>
        <w:t xml:space="preserve">Retain the returned tracking information privately.</w:t>
      </w:r>
      <w:r>
        <w:t xml:space="preserve"> </w:t>
      </w:r>
      <w:r>
        <w:rPr>
          <w:rStyle w:val="VerbatimChar"/>
        </w:rPr>
        <w:t xml:space="preserve">POST /desktop/v1/public/lookup</w:t>
      </w:r>
      <w:r>
        <w:t xml:space="preserve"> </w:t>
      </w:r>
      <w:r>
        <w:t xml:space="preserve">requires</w:t>
      </w:r>
      <w:r>
        <w:t xml:space="preserve"> </w:t>
      </w:r>
      <w:r>
        <w:rPr>
          <w:b/>
          <w:bCs/>
        </w:rPr>
        <w:t xml:space="preserve">both</w:t>
      </w:r>
      <w:r>
        <w:t xml:space="preserve"> </w:t>
      </w:r>
      <w:r>
        <w:rPr>
          <w:rStyle w:val="VerbatimChar"/>
        </w:rPr>
        <w:t xml:space="preserve">trackingNumber</w:t>
      </w:r>
      <w:r>
        <w:t xml:space="preserve"> </w:t>
      </w:r>
      <w:r>
        <w:t xml:space="preserve">and matching</w:t>
      </w:r>
      <w:r>
        <w:t xml:space="preserve"> </w:t>
      </w:r>
      <w:r>
        <w:rPr>
          <w:rStyle w:val="VerbatimChar"/>
        </w:rPr>
        <w:t xml:space="preserve">requesterContact</w:t>
      </w:r>
      <w:r>
        <w:t xml:space="preserve">; it returns the permitted public status rather than staff notes.</w:t>
      </w:r>
      <w:r>
        <w:t xml:space="preserve"> </w:t>
      </w:r>
      <w:r>
        <w:rPr>
          <w:rStyle w:val="VerbatimChar"/>
        </w:rPr>
        <w:t xml:space="preserve">/desktop/v1/public/messages</w:t>
      </w:r>
      <w:r>
        <w:t xml:space="preserve"> </w:t>
      </w:r>
      <w:r>
        <w:t xml:space="preserve">additionally requires</w:t>
      </w:r>
      <w:r>
        <w:t xml:space="preserve"> </w:t>
      </w:r>
      <w:r>
        <w:rPr>
          <w:rStyle w:val="VerbatimChar"/>
        </w:rPr>
        <w:t xml:space="preserve">publicRequestMessage</w:t>
      </w:r>
      <w:r>
        <w:t xml:space="preserve">. Read the status/response detail and treat a portal-mode or identity refusal as a refusal. Do not remove that gate, expose tracking/contact values in logs or assume that changing</w:t>
      </w:r>
      <w:r>
        <w:t xml:space="preserve"> </w:t>
      </w:r>
      <w:r>
        <w:rPr>
          <w:rStyle w:val="VerbatimChar"/>
        </w:rPr>
        <w:t xml:space="preserve">PORTAL_MODE</w:t>
      </w:r>
      <w:r>
        <w:t xml:space="preserve"> </w:t>
      </w:r>
      <w:r>
        <w:t xml:space="preserve">commissions a public website. Named staff still use their own authenticated workspace.</w:t>
      </w:r>
    </w:p>
    <w:p>
      <w:pPr>
        <w:pStyle w:val="BodyText"/>
      </w:pPr>
      <w:r>
        <w:t xml:space="preserve">Source contracts:</w:t>
      </w:r>
      <w:r>
        <w:t xml:space="preserve"> </w:t>
      </w:r>
      <w:r>
        <w:rPr>
          <w:rStyle w:val="VerbatimChar"/>
        </w:rPr>
        <w:t xml:space="preserve">app/desktop_bridge/schemas.py</w:t>
      </w:r>
      <w:r>
        <w:t xml:space="preserve">,</w:t>
      </w:r>
      <w:r>
        <w:t xml:space="preserve"> </w:t>
      </w:r>
      <w:r>
        <w:rPr>
          <w:rStyle w:val="VerbatimChar"/>
        </w:rPr>
        <w:t xml:space="preserve">app/requests/workflow.py</w:t>
      </w:r>
      <w:r>
        <w:t xml:space="preserve">, notification service/router/SMTP delivery, and the public desktop bridge routes. Full outer command shapes and endpoint authentication remain in the Records API reference.</w:t>
      </w:r>
    </w:p>
    <w:bookmarkEnd w:id="41"/>
    <w:bookmarkEnd w:id="42"/>
    <w:bookmarkStart w:id="48" w:name="technical-specifications"/>
    <w:p>
      <w:pPr>
        <w:pStyle w:val="Heading1"/>
      </w:pPr>
      <w:r>
        <w:t xml:space="preserve">Technical specifications</w:t>
      </w:r>
    </w:p>
    <w:bookmarkStart w:id="43"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3"/>
    <w:bookmarkStart w:id="44" w:name="data-and-consistency"/>
    <w:p>
      <w:pPr>
        <w:pStyle w:val="Heading2"/>
      </w:pPr>
      <w:r>
        <w:t xml:space="preserve">Data and consistency</w:t>
      </w:r>
    </w:p>
    <w:p>
      <w:pPr>
        <w:pStyle w:val="FirstParagraph"/>
      </w:pPr>
      <w:r>
        <w:t xml:space="preserve">Requests; assignments and deadlines; search sessions; evidence attachments and original hashes; release copies; exemption decisions; messages; fee line items; response approvals; export artifacts and audit events.</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4"/>
    <w:bookmarkStart w:id="47"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5">
        <w:r>
          <w:rPr>
            <w:rStyle w:val="Hyperlink"/>
          </w:rPr>
          <w:t xml:space="preserve">runtime payload lock</w:t>
        </w:r>
      </w:hyperlink>
      <w:r>
        <w:t xml:space="preserve"> </w:t>
      </w:r>
      <w:r>
        <w:t xml:space="preserve">records pinned files, sizes and hashes. The</w:t>
      </w:r>
      <w:r>
        <w:t xml:space="preserve"> </w:t>
      </w:r>
      <w:hyperlink r:id="rId46">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7"/>
    <w:bookmarkEnd w:id="48"/>
    <w:bookmarkStart w:id="51" w:name="configuration-and-administration"/>
    <w:p>
      <w:pPr>
        <w:pStyle w:val="Heading1"/>
      </w:pPr>
      <w:r>
        <w:t xml:space="preserve">Configuration and administration</w:t>
      </w:r>
    </w:p>
    <w:bookmarkStart w:id="49"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9"/>
    <w:bookmarkStart w:id="50" w:name="communications-and-review-configuration"/>
    <w:p>
      <w:pPr>
        <w:pStyle w:val="Heading2"/>
      </w:pPr>
      <w:r>
        <w:t xml:space="preserve">Communications and review configuration</w:t>
      </w:r>
    </w:p>
    <w:p>
      <w:pPr>
        <w:pStyle w:val="FirstParagraph"/>
      </w:pPr>
      <w:r>
        <w:t xml:space="preserve">SMTP settings include host, port, username/password, sender address and TLS choice. Configure and verify actual delivery only for a deployment that selects external mail. Connector host allowlists and encrypted data-source configuration are separate controls. Records fee schedules concern the records workflow; they do not authorize Permitting to calculate an official permit fee. Keep resident portal posture and self-registration separate from named local staff setup.</w:t>
      </w:r>
    </w:p>
    <w:bookmarkEnd w:id="50"/>
    <w:bookmarkEnd w:id="51"/>
    <w:bookmarkStart w:id="59" w:name="api-and-integration-examples"/>
    <w:p>
      <w:pPr>
        <w:pStyle w:val="Heading1"/>
      </w:pPr>
      <w:r>
        <w:t xml:space="preserve">API and integration examples</w:t>
      </w:r>
    </w:p>
    <w:bookmarkStart w:id="52"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'records_domain_request'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'view'</w:t>
      </w:r>
      <w:r>
        <w:rPr>
          <w:rStyle w:val="OperatorTok"/>
        </w:rPr>
        <w:t xml:space="preserve">,</w:t>
      </w:r>
      <w:r>
        <w:rPr>
          <w:rStyle w:val="NormalTok"/>
        </w:rPr>
        <w:t xml:space="preserve"> </w:t>
      </w:r>
      <w:r>
        <w:rPr>
          <w:rStyle w:val="DataTypeTok"/>
        </w:rPr>
        <w:t xml:space="preserve">request_id</w:t>
      </w:r>
      <w:r>
        <w:rPr>
          <w:rStyle w:val="OperatorTok"/>
        </w:rPr>
        <w:t xml:space="preserve">:</w:t>
      </w:r>
      <w:r>
        <w:rPr>
          <w:rStyle w:val="NormalTok"/>
        </w:rPr>
        <w:t xml:space="preserve"> requestId}})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52"/>
    <w:bookmarkStart w:id="53"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'http://127.0.0.1:15480/desktop/v1/records-state'</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53"/>
    <w:bookmarkStart w:id="54"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4"/>
    <w:bookmarkStart w:id="58" w:name="complete-technical-contract"/>
    <w:p>
      <w:pPr>
        <w:pStyle w:val="Heading2"/>
      </w:pPr>
      <w:r>
        <w:t xml:space="preserve">Complete technical contract</w:t>
      </w:r>
    </w:p>
    <w:p>
      <w:pPr>
        <w:pStyle w:val="FirstParagraph"/>
      </w:pPr>
      <w:r>
        <w:t xml:space="preserve">Read the</w:t>
      </w:r>
      <w:r>
        <w:t xml:space="preserve"> </w:t>
      </w:r>
      <w:hyperlink r:id="rId55">
        <w:r>
          <w:rPr>
            <w:rStyle w:val="Hyperlink"/>
          </w:rPr>
          <w:t xml:space="preserve">Records API reference</w:t>
        </w:r>
      </w:hyperlink>
      <w:r>
        <w:t xml:space="preserve"> </w:t>
      </w:r>
      <w:r>
        <w:t xml:space="preserve">for every documented operation, request field, constraint, response declaration and source supplement. Download the</w:t>
      </w:r>
      <w:r>
        <w:t xml:space="preserve"> </w:t>
      </w:r>
      <w:hyperlink r:id="rId56">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7">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8"/>
    <w:bookmarkEnd w:id="59"/>
    <w:bookmarkStart w:id="61"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60">
        <w:r>
          <w:rPr>
            <w:rStyle w:val="Hyperlink"/>
          </w:rPr>
          <w:t xml:space="preserve">MCP source reference</w:t>
        </w:r>
      </w:hyperlink>
      <w:r>
        <w:t xml:space="preserve">. Station meeting capture does not become live speech recognition because this optional donor adapter exists.</w:t>
      </w:r>
    </w:p>
    <w:bookmarkEnd w:id="61"/>
    <w:bookmarkStart w:id="62"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62"/>
    <w:bookmarkStart w:id="63"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3"/>
    <w:bookmarkStart w:id="64"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64"/>
    <w:bookmarkStart w:id="67"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Records</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Intake, note, original attachment/readback, separate release copy, explicit release decision, draft/approval, approved response and release package exports, fulfillment/readback and native workspace.</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5">
        <w:r>
          <w:rPr>
            <w:rStyle w:val="Hyperlink"/>
          </w:rPr>
          <w:t xml:space="preserve">workflow matrix</w:t>
        </w:r>
      </w:hyperlink>
      <w:r>
        <w:t xml:space="preserve"> </w:t>
      </w:r>
      <w:r>
        <w:t xml:space="preserve">identifies raw receipt filenames. The</w:t>
      </w:r>
      <w:r>
        <w:t xml:space="preserve"> </w:t>
      </w:r>
      <w:hyperlink r:id="rId66">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7"/>
    <w:bookmarkStart w:id="79" w:name="terms-of-service-and-license"/>
    <w:p>
      <w:pPr>
        <w:pStyle w:val="Heading1"/>
      </w:pPr>
      <w:r>
        <w:t xml:space="preserve">Terms of service and license</w:t>
      </w:r>
    </w:p>
    <w:bookmarkStart w:id="68"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8"/>
    <w:bookmarkStart w:id="71"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69">
        <w:r>
          <w:rPr>
            <w:rStyle w:val="Hyperlink"/>
          </w:rPr>
          <w:t xml:space="preserve">GNU license reference</w:t>
        </w:r>
      </w:hyperlink>
      <w:r>
        <w:t xml:space="preserve"> </w:t>
      </w:r>
      <w:r>
        <w:t xml:space="preserve">and</w:t>
      </w:r>
      <w:r>
        <w:t xml:space="preserve"> </w:t>
      </w:r>
      <w:hyperlink r:id="rId70">
        <w:r>
          <w:rPr>
            <w:rStyle w:val="Hyperlink"/>
          </w:rPr>
          <w:t xml:space="preserve">GNU licensing FAQ</w:t>
        </w:r>
      </w:hyperlink>
      <w:r>
        <w:t xml:space="preserve">.</w:t>
      </w:r>
    </w:p>
    <w:bookmarkEnd w:id="71"/>
    <w:bookmarkStart w:id="72"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72"/>
    <w:bookmarkStart w:id="73"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3"/>
    <w:bookmarkStart w:id="74"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4"/>
    <w:bookmarkStart w:id="75"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5"/>
    <w:bookmarkStart w:id="76"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6"/>
    <w:bookmarkStart w:id="77"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7"/>
    <w:bookmarkStart w:id="78"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8"/>
    <w:bookmarkEnd w:id="79"/>
    <w:bookmarkStart w:id="80"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80"/>
    <w:bookmarkStart w:id="82" w:name="alphabetical-subject-index"/>
    <w:p>
      <w:pPr>
        <w:pStyle w:val="Heading1"/>
      </w:pPr>
      <w:r>
        <w:t xml:space="preserve">Alphabetical subject index</w:t>
      </w:r>
    </w:p>
    <w:p>
      <w:pPr>
        <w:pStyle w:val="Compact"/>
        <w:numPr>
          <w:ilvl w:val="0"/>
          <w:numId w:val="1002"/>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2"/>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2"/>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2"/>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2"/>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2"/>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2"/>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2"/>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2"/>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2"/>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81" w:name="operating-subject-links"/>
    <w:p>
      <w:pPr>
        <w:pStyle w:val="Heading2"/>
      </w:pPr>
      <w:r>
        <w:t xml:space="preserve">Operating subject links</w:t>
      </w:r>
    </w:p>
    <w:p>
      <w:pPr>
        <w:pStyle w:val="Compact"/>
        <w:numPr>
          <w:ilvl w:val="0"/>
          <w:numId w:val="1003"/>
        </w:numPr>
      </w:pPr>
      <w:r>
        <w:rPr>
          <w:b/>
          <w:bCs/>
        </w:rPr>
        <w:t xml:space="preserve">Configure templates and inspect the outbox</w:t>
      </w:r>
      <w:r>
        <w:t xml:space="preserve"> </w:t>
      </w:r>
      <w:r>
        <w:t xml:space="preserve">—</w:t>
      </w:r>
      <w:r>
        <w:t xml:space="preserve"> </w:t>
      </w:r>
      <w:hyperlink w:anchor="X950cc1dac1b4e51bbf9fdce43224b2c25fb5c67">
        <w:r>
          <w:rPr>
            <w:rStyle w:val="Hyperlink"/>
          </w:rPr>
          <w:t xml:space="preserve">Configure templates and inspect the outbox</w:t>
        </w:r>
      </w:hyperlink>
      <w:r>
        <w:t xml:space="preserve">.</w:t>
      </w:r>
    </w:p>
    <w:p>
      <w:pPr>
        <w:pStyle w:val="Compact"/>
        <w:numPr>
          <w:ilvl w:val="0"/>
          <w:numId w:val="1003"/>
        </w:numPr>
      </w:pPr>
      <w:r>
        <w:rPr>
          <w:b/>
          <w:bCs/>
        </w:rPr>
        <w:t xml:space="preserve">Exercise existing local public intake and tracking</w:t>
      </w:r>
      <w:r>
        <w:t xml:space="preserve"> </w:t>
      </w:r>
      <w:r>
        <w:t xml:space="preserve">—</w:t>
      </w:r>
      <w:r>
        <w:t xml:space="preserve"> </w:t>
      </w:r>
      <w:hyperlink w:anchor="X13ca1f09f0bb4eabec9d13d9fcfdb8b1f1c2489">
        <w:r>
          <w:rPr>
            <w:rStyle w:val="Hyperlink"/>
          </w:rPr>
          <w:t xml:space="preserve">Exercise existing local public intake and tracking</w:t>
        </w:r>
      </w:hyperlink>
      <w:r>
        <w:t xml:space="preserve">.</w:t>
      </w:r>
    </w:p>
    <w:p>
      <w:pPr>
        <w:pStyle w:val="Compact"/>
        <w:numPr>
          <w:ilvl w:val="0"/>
          <w:numId w:val="1003"/>
        </w:numPr>
      </w:pPr>
      <w:r>
        <w:rPr>
          <w:b/>
          <w:bCs/>
        </w:rPr>
        <w:t xml:space="preserve">Fees messages notifications and local intake</w:t>
      </w:r>
      <w:r>
        <w:t xml:space="preserve"> </w:t>
      </w:r>
      <w:r>
        <w:t xml:space="preserve">—</w:t>
      </w:r>
      <w:r>
        <w:t xml:space="preserve"> </w:t>
      </w:r>
      <w:hyperlink w:anchor="X76b967ecaf2ea2beb74ae290cac52c3299e8aac">
        <w:r>
          <w:rPr>
            <w:rStyle w:val="Hyperlink"/>
          </w:rPr>
          <w:t xml:space="preserve">Fees messages notifications and local intake</w:t>
        </w:r>
      </w:hyperlink>
      <w:r>
        <w:t xml:space="preserve">.</w:t>
      </w:r>
    </w:p>
    <w:p>
      <w:pPr>
        <w:pStyle w:val="Compact"/>
        <w:numPr>
          <w:ilvl w:val="0"/>
          <w:numId w:val="1003"/>
        </w:numPr>
      </w:pPr>
      <w:r>
        <w:rPr>
          <w:b/>
          <w:bCs/>
        </w:rPr>
        <w:t xml:space="preserve">Record a fee line or waiver</w:t>
      </w:r>
      <w:r>
        <w:t xml:space="preserve"> </w:t>
      </w:r>
      <w:r>
        <w:t xml:space="preserve">—</w:t>
      </w:r>
      <w:r>
        <w:t xml:space="preserve"> </w:t>
      </w:r>
      <w:hyperlink w:anchor="record-a-fee-line-or-waiver">
        <w:r>
          <w:rPr>
            <w:rStyle w:val="Hyperlink"/>
          </w:rPr>
          <w:t xml:space="preserve">Record a fee line or waiver</w:t>
        </w:r>
      </w:hyperlink>
      <w:r>
        <w:t xml:space="preserve">.</w:t>
      </w:r>
    </w:p>
    <w:p>
      <w:pPr>
        <w:pStyle w:val="Compact"/>
        <w:numPr>
          <w:ilvl w:val="0"/>
          <w:numId w:val="1003"/>
        </w:numPr>
      </w:pPr>
      <w:r>
        <w:rPr>
          <w:b/>
          <w:bCs/>
        </w:rPr>
        <w:t xml:space="preserve">Save staff and requester messages</w:t>
      </w:r>
      <w:r>
        <w:t xml:space="preserve"> </w:t>
      </w:r>
      <w:r>
        <w:t xml:space="preserve">—</w:t>
      </w:r>
      <w:r>
        <w:t xml:space="preserve"> </w:t>
      </w:r>
      <w:hyperlink w:anchor="save-staff-and-requester-messages">
        <w:r>
          <w:rPr>
            <w:rStyle w:val="Hyperlink"/>
          </w:rPr>
          <w:t xml:space="preserve">Save staff and requester messages</w:t>
        </w:r>
      </w:hyperlink>
      <w:r>
        <w:t xml:space="preserve">.</w:t>
      </w:r>
    </w:p>
    <w:bookmarkEnd w:id="81"/>
    <w:bookmarkEnd w:id="82"/>
    <w:bookmarkStart w:id="87"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6" w:name="workflow-subject-index"/>
    <w:p>
      <w:pPr>
        <w:pStyle w:val="Heading2"/>
      </w:pPr>
      <w:r>
        <w:t xml:space="preserve">Workflow subject index</w:t>
      </w:r>
    </w:p>
    <w:p>
      <w:pPr>
        <w:numPr>
          <w:ilvl w:val="0"/>
          <w:numId w:val="1004"/>
        </w:numPr>
      </w:pPr>
      <w:r>
        <w:rPr>
          <w:b/>
          <w:bCs/>
        </w:rPr>
        <w:t xml:space="preserve">Draft and approve</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4"/>
        </w:numPr>
      </w:pPr>
      <w:r>
        <w:rPr>
          <w:b/>
          <w:bCs/>
        </w:rPr>
        <w:t xml:space="preserve">Export both artifacts</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4"/>
        </w:numPr>
      </w:pPr>
      <w:r>
        <w:rPr>
          <w:b/>
          <w:bCs/>
        </w:rPr>
        <w:t xml:space="preserve">Find responsive evidence</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4"/>
        </w:numPr>
      </w:pPr>
      <w:r>
        <w:rPr>
          <w:b/>
          <w:bCs/>
        </w:rPr>
        <w:t xml:space="preserve">Fulfill and retain</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4"/>
        </w:numPr>
      </w:pPr>
      <w:r>
        <w:rPr>
          <w:b/>
          <w:bCs/>
        </w:rPr>
        <w:t xml:space="preserve">Preserve the original</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4"/>
        </w:numPr>
      </w:pPr>
      <w:r>
        <w:rPr>
          <w:b/>
          <w:bCs/>
        </w:rPr>
        <w:t xml:space="preserve">Receive and identify the request</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4"/>
        </w:numPr>
      </w:pPr>
      <w:r>
        <w:rPr>
          <w:b/>
          <w:bCs/>
        </w:rPr>
        <w:t xml:space="preserve">Record each release decision</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4"/>
        </w:numPr>
      </w:pPr>
      <w:hyperlink r:id="rId83">
        <w:r>
          <w:rPr>
            <w:rStyle w:val="Hyperlink"/>
          </w:rPr>
          <w:t xml:space="preserve">Source inventory and file hashes</w:t>
        </w:r>
      </w:hyperlink>
    </w:p>
    <w:p>
      <w:pPr>
        <w:numPr>
          <w:ilvl w:val="0"/>
          <w:numId w:val="1004"/>
        </w:numPr>
      </w:pPr>
      <w:hyperlink r:id="rId46">
        <w:r>
          <w:rPr>
            <w:rStyle w:val="Hyperlink"/>
          </w:rPr>
          <w:t xml:space="preserve">All component metadata</w:t>
        </w:r>
      </w:hyperlink>
    </w:p>
    <w:p>
      <w:pPr>
        <w:numPr>
          <w:ilvl w:val="0"/>
          <w:numId w:val="1004"/>
        </w:numPr>
      </w:pPr>
      <w:hyperlink r:id="rId84">
        <w:r>
          <w:rPr>
            <w:rStyle w:val="Hyperlink"/>
          </w:rPr>
          <w:t xml:space="preserve">Installed domain OpenAPI</w:t>
        </w:r>
      </w:hyperlink>
    </w:p>
    <w:p>
      <w:pPr>
        <w:numPr>
          <w:ilvl w:val="0"/>
          <w:numId w:val="1004"/>
        </w:numPr>
      </w:pPr>
      <w:hyperlink r:id="rId65">
        <w:r>
          <w:rPr>
            <w:rStyle w:val="Hyperlink"/>
          </w:rPr>
          <w:t xml:space="preserve">Workflow matrix</w:t>
        </w:r>
      </w:hyperlink>
    </w:p>
    <w:p>
      <w:pPr>
        <w:numPr>
          <w:ilvl w:val="0"/>
          <w:numId w:val="1004"/>
        </w:numPr>
      </w:pPr>
      <w:hyperlink r:id="rId85">
        <w:r>
          <w:rPr>
            <w:rStyle w:val="Hyperlink"/>
          </w:rPr>
          <w:t xml:space="preserve">Full AGPL text</w:t>
        </w:r>
      </w:hyperlink>
    </w:p>
    <w:bookmarkEnd w:id="86"/>
    <w:bookmarkEnd w:id="87"/>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4" Type="http://schemas.openxmlformats.org/officeDocument/2006/relationships/image" Target="media/rId34.png"/><Relationship Id="rId56" Type="http://schemas.openxmlformats.org/officeDocument/2006/relationships/hyperlink" Target="docs/beta-1/api/records-openapi.json" TargetMode="External"/><Relationship Id="rId55" Type="http://schemas.openxmlformats.org/officeDocument/2006/relationships/hyperlink" Target="docs/beta-1/api/records.html" TargetMode="External"/><Relationship Id="rId85" Type="http://schemas.openxmlformats.org/officeDocument/2006/relationships/hyperlink" Target="docs/beta-1/reference/AGPL-3.0.txt" TargetMode="External"/><Relationship Id="rId46" Type="http://schemas.openxmlformats.org/officeDocument/2006/relationships/hyperlink" Target="docs/beta-1/reference/component-metadata.json" TargetMode="External"/><Relationship Id="rId84" Type="http://schemas.openxmlformats.org/officeDocument/2006/relationships/hyperlink" Target="docs/beta-1/reference/desktop-domain-openapi.json" TargetMode="External"/><Relationship Id="rId57" Type="http://schemas.openxmlformats.org/officeDocument/2006/relationships/hyperlink" Target="docs/beta-1/reference/index.html" TargetMode="External"/><Relationship Id="rId60" Type="http://schemas.openxmlformats.org/officeDocument/2006/relationships/hyperlink" Target="docs/beta-1/reference/mcp.html" TargetMode="External"/><Relationship Id="rId45" Type="http://schemas.openxmlformats.org/officeDocument/2006/relationships/hyperlink" Target="docs/beta-1/reference/runtime-payload-lock.json" TargetMode="External"/><Relationship Id="rId66" Type="http://schemas.openxmlformats.org/officeDocument/2006/relationships/hyperlink" Target="docs/beta-1/reference/sandbox-evidence-index.json" TargetMode="External"/><Relationship Id="rId83" Type="http://schemas.openxmlformats.org/officeDocument/2006/relationships/hyperlink" Target="docs/beta-1/reference/source-inventory.json" TargetMode="External"/><Relationship Id="rId65" Type="http://schemas.openxmlformats.org/officeDocument/2006/relationships/hyperlink" Target="docs/beta-1/reference/workflow-matrix.json" TargetMode="External"/><Relationship Id="rId69" Type="http://schemas.openxmlformats.org/officeDocument/2006/relationships/hyperlink" Target="https://www.gnu.org/licenses/agpl-3.0.html" TargetMode="External"/><Relationship Id="rId70"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6" Type="http://schemas.openxmlformats.org/officeDocument/2006/relationships/hyperlink" Target="docs/beta-1/api/records-openapi.json" TargetMode="External"/><Relationship Id="rId55" Type="http://schemas.openxmlformats.org/officeDocument/2006/relationships/hyperlink" Target="docs/beta-1/api/records.html" TargetMode="External"/><Relationship Id="rId85" Type="http://schemas.openxmlformats.org/officeDocument/2006/relationships/hyperlink" Target="docs/beta-1/reference/AGPL-3.0.txt" TargetMode="External"/><Relationship Id="rId46" Type="http://schemas.openxmlformats.org/officeDocument/2006/relationships/hyperlink" Target="docs/beta-1/reference/component-metadata.json" TargetMode="External"/><Relationship Id="rId84" Type="http://schemas.openxmlformats.org/officeDocument/2006/relationships/hyperlink" Target="docs/beta-1/reference/desktop-domain-openapi.json" TargetMode="External"/><Relationship Id="rId57" Type="http://schemas.openxmlformats.org/officeDocument/2006/relationships/hyperlink" Target="docs/beta-1/reference/index.html" TargetMode="External"/><Relationship Id="rId60" Type="http://schemas.openxmlformats.org/officeDocument/2006/relationships/hyperlink" Target="docs/beta-1/reference/mcp.html" TargetMode="External"/><Relationship Id="rId45" Type="http://schemas.openxmlformats.org/officeDocument/2006/relationships/hyperlink" Target="docs/beta-1/reference/runtime-payload-lock.json" TargetMode="External"/><Relationship Id="rId66" Type="http://schemas.openxmlformats.org/officeDocument/2006/relationships/hyperlink" Target="docs/beta-1/reference/sandbox-evidence-index.json" TargetMode="External"/><Relationship Id="rId83" Type="http://schemas.openxmlformats.org/officeDocument/2006/relationships/hyperlink" Target="docs/beta-1/reference/source-inventory.json" TargetMode="External"/><Relationship Id="rId65" Type="http://schemas.openxmlformats.org/officeDocument/2006/relationships/hyperlink" Target="docs/beta-1/reference/workflow-matrix.json" TargetMode="External"/><Relationship Id="rId69" Type="http://schemas.openxmlformats.org/officeDocument/2006/relationships/hyperlink" Target="https://www.gnu.org/licenses/agpl-3.0.html" TargetMode="External"/><Relationship Id="rId70"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Records Manual</dc:title>
  <dc:creator/>
  <cp:keywords/>
  <dcterms:created xsi:type="dcterms:W3CDTF">2026-10-30T16:19:16Z</dcterms:created>
  <dcterms:modified xsi:type="dcterms:W3CDTF">2026-10-30T16:19:16Z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