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Suite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existing-product-operating-guides">
        <w:r>
          <w:rPr>
            <w:rStyle w:val="Hyperlink"/>
          </w:rPr>
          <w:t xml:space="preserve">Existing product operating guides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Beta 1 connects nine municipal products around retained sources, named staff and explicit human decisions. This suite manual explains setup, shared operating procedures and cross-product handoffs. Each product has a complete staff and technical manual. The accepted desktop contains eight products; Station is separately configured. Standalone CivicCast remains a separate product.</w:t>
      </w:r>
    </w:p>
    <w:p>
      <w:pPr>
        <w:pStyle w:val="BodyText"/>
      </w:pPr>
      <w:r>
        <w:t xml:space="preserve">Staff should start with First run and Connected workflows. Administrators should read Architecture, Configuration, Security and Recovery. Developers should use the full API reference and per-product source contracts. These instructions describe the private candidate rather than older public release selections.</w:t>
      </w:r>
    </w:p>
    <w:bookmarkEnd w:id="20"/>
    <w:bookmarkStart w:id="22"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Start w:id="21" w:name="component-versions"/>
    <w:p>
      <w:pPr>
        <w:pStyle w:val="Heading2"/>
      </w:pPr>
      <w:r>
        <w:t xml:space="preserve">Component versions</w:t>
      </w:r>
    </w:p>
    <w:tbl>
      <w:tblPr>
        <w:tblStyle w:val="Table"/>
        <w:tblW w:type="auto" w:w="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Package</w:t>
            </w:r>
          </w:p>
        </w:tc>
        <w:tc>
          <w:tcPr>
            <w:tcW w:type="dxa" w:w="5184"/>
            <w:tcMar>
              <w:top w:w="90" w:type="dxa"/>
              <w:left w:w="90" w:type="dxa"/>
              <w:bottom w:w="90" w:type="dxa"/>
              <w:right w:w="90" w:type="dxa"/>
            </w:tcMar>
            <w:shd w:fill="F1F6F5"/>
          </w:tcPr>
          <w:p>
            <w:pPr>
              <w:pStyle w:val="Compact"/>
            </w:pPr>
            <w:r>
              <w:rPr>
                <w:sz w:val="18"/>
              </w:rPr>
              <w:t xml:space="preserve">Existing version</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civiccore</w:t>
            </w:r>
          </w:p>
        </w:tc>
        <w:tc>
          <w:tcPr>
            <w:tcW w:type="dxa" w:w="5184"/>
            <w:tcMar>
              <w:top w:w="90" w:type="dxa"/>
              <w:left w:w="90" w:type="dxa"/>
              <w:bottom w:w="90" w:type="dxa"/>
              <w:right w:w="90" w:type="dxa"/>
            </w:tcMar>
          </w:tcPr>
          <w:p>
            <w:pPr>
              <w:pStyle w:val="Compact"/>
            </w:pPr>
            <w:r>
              <w:rPr>
                <w:sz w:val="18"/>
              </w:rPr>
              <w:t xml:space="preserve">1.3.0.dev1</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civicrecords-ai</w:t>
            </w:r>
          </w:p>
        </w:tc>
        <w:tc>
          <w:tcPr>
            <w:tcW w:type="dxa" w:w="5184"/>
            <w:tcMar>
              <w:top w:w="90" w:type="dxa"/>
              <w:left w:w="90" w:type="dxa"/>
              <w:bottom w:w="90" w:type="dxa"/>
              <w:right w:w="90" w:type="dxa"/>
            </w:tcMar>
          </w:tcPr>
          <w:p>
            <w:pPr>
              <w:pStyle w:val="Compact"/>
            </w:pPr>
            <w:r>
              <w:rPr>
                <w:sz w:val="18"/>
              </w:rPr>
              <w:t xml:space="preserve">1.8.0.dev1</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civicclerk</w:t>
            </w:r>
          </w:p>
        </w:tc>
        <w:tc>
          <w:tcPr>
            <w:tcW w:type="dxa" w:w="5184"/>
            <w:tcMar>
              <w:top w:w="90" w:type="dxa"/>
              <w:left w:w="90" w:type="dxa"/>
              <w:bottom w:w="90" w:type="dxa"/>
              <w:right w:w="90" w:type="dxa"/>
            </w:tcMar>
          </w:tcPr>
          <w:p>
            <w:pPr>
              <w:pStyle w:val="Compact"/>
            </w:pPr>
            <w:r>
              <w:rPr>
                <w:sz w:val="18"/>
              </w:rPr>
              <w:t xml:space="preserve">1.0.4</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civiccode</w:t>
            </w:r>
          </w:p>
        </w:tc>
        <w:tc>
          <w:tcPr>
            <w:tcW w:type="dxa" w:w="5184"/>
            <w:tcMar>
              <w:top w:w="90" w:type="dxa"/>
              <w:left w:w="90" w:type="dxa"/>
              <w:bottom w:w="90" w:type="dxa"/>
              <w:right w:w="90" w:type="dxa"/>
            </w:tcMar>
          </w:tcPr>
          <w:p>
            <w:pPr>
              <w:pStyle w:val="Compact"/>
            </w:pPr>
            <w:r>
              <w:rPr>
                <w:sz w:val="18"/>
              </w:rPr>
              <w:t xml:space="preserve">1.0.8</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civiczone</w:t>
            </w:r>
          </w:p>
        </w:tc>
        <w:tc>
          <w:tcPr>
            <w:tcW w:type="dxa" w:w="5184"/>
            <w:tcMar>
              <w:top w:w="90" w:type="dxa"/>
              <w:left w:w="90" w:type="dxa"/>
              <w:bottom w:w="90" w:type="dxa"/>
              <w:right w:w="90" w:type="dxa"/>
            </w:tcMar>
          </w:tcPr>
          <w:p>
            <w:pPr>
              <w:pStyle w:val="Compact"/>
            </w:pPr>
            <w:r>
              <w:rPr>
                <w:sz w:val="18"/>
              </w:rPr>
              <w:t xml:space="preserve">0.2.2</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civicplan</w:t>
            </w:r>
          </w:p>
        </w:tc>
        <w:tc>
          <w:tcPr>
            <w:tcW w:type="dxa" w:w="5184"/>
            <w:tcMar>
              <w:top w:w="90" w:type="dxa"/>
              <w:left w:w="90" w:type="dxa"/>
              <w:bottom w:w="90" w:type="dxa"/>
              <w:right w:w="90" w:type="dxa"/>
            </w:tcMar>
          </w:tcPr>
          <w:p>
            <w:pPr>
              <w:pStyle w:val="Compact"/>
            </w:pPr>
            <w:r>
              <w:rPr>
                <w:sz w:val="18"/>
              </w:rPr>
              <w:t xml:space="preserve">0.4.0.dev1</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civicpermit</w:t>
            </w:r>
          </w:p>
        </w:tc>
        <w:tc>
          <w:tcPr>
            <w:tcW w:type="dxa" w:w="5184"/>
            <w:tcMar>
              <w:top w:w="90" w:type="dxa"/>
              <w:left w:w="90" w:type="dxa"/>
              <w:bottom w:w="90" w:type="dxa"/>
              <w:right w:w="90" w:type="dxa"/>
            </w:tcMar>
          </w:tcPr>
          <w:p>
            <w:pPr>
              <w:pStyle w:val="Compact"/>
            </w:pPr>
            <w:r>
              <w:rPr>
                <w:sz w:val="18"/>
              </w:rPr>
              <w:t xml:space="preserve">0.3.0+dev.1</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civicinspect</w:t>
            </w:r>
          </w:p>
        </w:tc>
        <w:tc>
          <w:tcPr>
            <w:tcW w:type="dxa" w:w="5184"/>
            <w:tcMar>
              <w:top w:w="90" w:type="dxa"/>
              <w:left w:w="90" w:type="dxa"/>
              <w:bottom w:w="90" w:type="dxa"/>
              <w:right w:w="90" w:type="dxa"/>
            </w:tcMar>
          </w:tcPr>
          <w:p>
            <w:pPr>
              <w:pStyle w:val="Compact"/>
            </w:pPr>
            <w:r>
              <w:rPr>
                <w:sz w:val="18"/>
              </w:rPr>
              <w:t xml:space="preserve">0.3.0+dev.1</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townlight-station</w:t>
            </w:r>
          </w:p>
        </w:tc>
        <w:tc>
          <w:tcPr>
            <w:tcW w:type="dxa" w:w="5184"/>
            <w:tcMar>
              <w:top w:w="90" w:type="dxa"/>
              <w:left w:w="90" w:type="dxa"/>
              <w:bottom w:w="90" w:type="dxa"/>
              <w:right w:w="90" w:type="dxa"/>
            </w:tcMar>
          </w:tcPr>
          <w:p>
            <w:pPr>
              <w:pStyle w:val="Compact"/>
            </w:pPr>
            <w:r>
              <w:rPr>
                <w:sz w:val="18"/>
              </w:rPr>
              <w:t xml:space="preserve">0.3.0</w:t>
            </w:r>
          </w:p>
        </w:tc>
      </w:tr>
    </w:tbl>
    <w:bookmarkEnd w:id="21"/>
    <w:bookmarkEnd w:id="22"/>
    <w:bookmarkStart w:id="23"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3"/>
    <w:bookmarkStart w:id="24" w:name="daily-workflow"/>
    <w:p>
      <w:pPr>
        <w:pStyle w:val="Heading1"/>
      </w:pPr>
      <w:r>
        <w:t xml:space="preserve">Daily workflow</w:t>
      </w:r>
    </w:p>
    <w:p>
      <w:pPr>
        <w:pStyle w:val="FirstParagraph"/>
      </w:pPr>
      <w:r>
        <w:t xml:space="preserve">Sign in with your own named account. Confirm the selected workspace, open a saved record and check its source/version before editing. Save the work, record the intended review and inspect its audience. Use an explicit export or cross-product selection when a copy is required. Sign out when finished. Use the product manual for its field-level procedure.</w:t>
      </w:r>
    </w:p>
    <w:p>
      <w:pPr>
        <w:pStyle w:val="BodyText"/>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24"/>
    <w:bookmarkStart w:id="39" w:name="connected-workflows"/>
    <w:p>
      <w:pPr>
        <w:pStyle w:val="Heading1"/>
      </w:pPr>
      <w:r>
        <w:t xml:space="preserve">Connected workflows</w:t>
      </w:r>
    </w:p>
    <w:bookmarkStart w:id="25" w:name="meeting-capture-to-a-records-response"/>
    <w:p>
      <w:pPr>
        <w:pStyle w:val="Heading2"/>
      </w:pPr>
      <w:r>
        <w:t xml:space="preserve">Meeting capture to a Records response</w:t>
      </w:r>
    </w:p>
    <w:p>
      <w:pPr>
        <w:pStyle w:val="Compact"/>
        <w:numPr>
          <w:ilvl w:val="0"/>
          <w:numId w:val="1002"/>
        </w:numPr>
      </w:pPr>
      <w:r>
        <w:t xml:space="preserve">Meetings staff create the meeting and assign agenda items; save the canonical records.</w:t>
      </w:r>
    </w:p>
    <w:p>
      <w:pPr>
        <w:pStyle w:val="Compact"/>
        <w:numPr>
          <w:ilvl w:val="0"/>
          <w:numId w:val="1002"/>
        </w:numPr>
      </w:pPr>
      <w:r>
        <w:t xml:space="preserve">An authorized Station operator opens a one-use staff launch, chooses that meeting and a configured live input or managed file, then starts capture.</w:t>
      </w:r>
    </w:p>
    <w:p>
      <w:pPr>
        <w:pStyle w:val="Compact"/>
        <w:numPr>
          <w:ilvl w:val="0"/>
          <w:numId w:val="1002"/>
        </w:numPr>
      </w:pPr>
      <w:r>
        <w:t xml:space="preserve">Stop and wait for completed validated media. Inspect the content and provenance. Partial/failed attempts stay separate.</w:t>
      </w:r>
    </w:p>
    <w:p>
      <w:pPr>
        <w:pStyle w:val="Compact"/>
        <w:numPr>
          <w:ilvl w:val="0"/>
          <w:numId w:val="1002"/>
        </w:numPr>
      </w:pPr>
      <w:r>
        <w:t xml:space="preserve">Records-authorized staff explicitly attach the completed recording to an existing request. The receiver verifies bytes/hash and retains one locked private original, including on an identical retry.</w:t>
      </w:r>
    </w:p>
    <w:p>
      <w:pPr>
        <w:pStyle w:val="Compact"/>
        <w:numPr>
          <w:ilvl w:val="0"/>
          <w:numId w:val="1002"/>
        </w:numPr>
      </w:pPr>
      <w:r>
        <w:t xml:space="preserve">Records separately prepares any release copy, records release/redact/exempt decisions, approves exact response text, exports the response/package and fulfills the request. Capture and handoff do not publish it.</w:t>
      </w:r>
    </w:p>
    <w:bookmarkEnd w:id="25"/>
    <w:bookmarkStart w:id="26" w:name="legislation-to-cited-staff-guidance"/>
    <w:p>
      <w:pPr>
        <w:pStyle w:val="Heading2"/>
      </w:pPr>
      <w:r>
        <w:t xml:space="preserve">Legislation to cited staff guidance</w:t>
      </w:r>
    </w:p>
    <w:p>
      <w:pPr>
        <w:pStyle w:val="FirstParagraph"/>
      </w:pPr>
      <w:r>
        <w:t xml:space="preserve">Code imports a retained source and creates a proposal connection to actual Meetings evidence. Authorized staff record adoption, then a separate codification decision. Zoning uses the cited Code context with imported parcels and rules. Permitting and Inspections select permitted cited authority for reviewed workpapers. An import, draft or meeting motion does not replace the actual adoption/codification decisions.</w:t>
      </w:r>
    </w:p>
    <w:bookmarkEnd w:id="26"/>
    <w:bookmarkStart w:id="27" w:name="policy-and-land-use-evidence-to-records"/>
    <w:p>
      <w:pPr>
        <w:pStyle w:val="Heading2"/>
      </w:pPr>
      <w:r>
        <w:t xml:space="preserve">Policy and land-use evidence to Records</w:t>
      </w:r>
    </w:p>
    <w:p>
      <w:pPr>
        <w:pStyle w:val="FirstParagraph"/>
      </w:pPr>
      <w:r>
        <w:t xml:space="preserve">Planning imports adopted policy revisions, including neighborhood applicability, and selects permitted Meetings/Zoning evidence. Staff save and review the exact analysis, then create the audience-specific snapshot. Planning initiatives/amendments retain their own history. Permitting and Inspections independently review their saved cases and prepare separate Records copies. Records rechecks the source/version/hash and owns the response release. Private notes and contact/property details must not be copied by relabeling a staff packet.</w:t>
      </w:r>
    </w:p>
    <w:bookmarkEnd w:id="27"/>
    <w:bookmarkStart w:id="28" w:name="shared-foundation-and-recovery"/>
    <w:p>
      <w:pPr>
        <w:pStyle w:val="Heading2"/>
      </w:pPr>
      <w:r>
        <w:t xml:space="preserve">Shared foundation and recovery</w:t>
      </w:r>
    </w:p>
    <w:p>
      <w:pPr>
        <w:pStyle w:val="FirstParagraph"/>
      </w:pPr>
      <w:r>
        <w:t xml:space="preserve">Core provides shared contracts, named account/session support, ingestion/task helpers and coherent recovery. Supporting Notice and Access are included where selected. These relationships do not establish all 56 directed product pairs, universal vendor integration or unrestricted federation.</w:t>
      </w:r>
    </w:p>
    <w:bookmarkEnd w:id="28"/>
    <w:bookmarkStart w:id="38" w:name="product-guide-directory"/>
    <w:p>
      <w:pPr>
        <w:pStyle w:val="Heading2"/>
      </w:pPr>
      <w:r>
        <w:t xml:space="preserve">Product guide directory</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Purpose</w:t>
            </w:r>
          </w:p>
        </w:tc>
        <w:tc>
          <w:tcPr>
            <w:tcW w:type="dxa" w:w="5184"/>
            <w:tcMar>
              <w:top w:w="90" w:type="dxa"/>
              <w:left w:w="90" w:type="dxa"/>
              <w:bottom w:w="90" w:type="dxa"/>
              <w:right w:w="90" w:type="dxa"/>
            </w:tcMar>
            <w:shd w:fill="F1F6F5"/>
          </w:tcPr>
          <w:p>
            <w:pPr>
              <w:pStyle w:val="Compact"/>
            </w:pPr>
            <w:r>
              <w:rPr>
                <w:sz w:val="18"/>
              </w:rPr>
              <w:t xml:space="preserve">Manual</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A shared foundation for accountable municipal work.</w:t>
            </w:r>
          </w:p>
        </w:tc>
        <w:tc>
          <w:tcPr>
            <w:tcW w:type="dxa" w:w="5184"/>
            <w:tcMar>
              <w:top w:w="90" w:type="dxa"/>
              <w:left w:w="90" w:type="dxa"/>
              <w:bottom w:w="90" w:type="dxa"/>
              <w:right w:w="90" w:type="dxa"/>
            </w:tcMar>
          </w:tcPr>
          <w:p>
            <w:pPr>
              <w:pStyle w:val="Compact"/>
            </w:pPr>
            <w:hyperlink r:id="rId29">
              <w:r>
                <w:rPr>
                  <w:rStyle w:val="Hyperlink"/>
                </w:rPr>
                <w:t xml:space="preserve">Core</w:t>
              </w:r>
            </w:hyperlink>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From request intake to a deliberate release.</w:t>
            </w:r>
          </w:p>
        </w:tc>
        <w:tc>
          <w:tcPr>
            <w:tcW w:type="dxa" w:w="5184"/>
            <w:tcMar>
              <w:top w:w="90" w:type="dxa"/>
              <w:left w:w="90" w:type="dxa"/>
              <w:bottom w:w="90" w:type="dxa"/>
              <w:right w:w="90" w:type="dxa"/>
            </w:tcMar>
          </w:tcPr>
          <w:p>
            <w:pPr>
              <w:pStyle w:val="Compact"/>
            </w:pPr>
            <w:hyperlink r:id="rId30">
              <w:r>
                <w:rPr>
                  <w:rStyle w:val="Hyperlink"/>
                </w:rPr>
                <w:t xml:space="preserve">Records</w:t>
              </w:r>
            </w:hyperlink>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Keep the agenda, decisions and evidence connected.</w:t>
            </w:r>
          </w:p>
        </w:tc>
        <w:tc>
          <w:tcPr>
            <w:tcW w:type="dxa" w:w="5184"/>
            <w:tcMar>
              <w:top w:w="90" w:type="dxa"/>
              <w:left w:w="90" w:type="dxa"/>
              <w:bottom w:w="90" w:type="dxa"/>
              <w:right w:w="90" w:type="dxa"/>
            </w:tcMar>
          </w:tcPr>
          <w:p>
            <w:pPr>
              <w:pStyle w:val="Compact"/>
            </w:pPr>
            <w:hyperlink r:id="rId31">
              <w:r>
                <w:rPr>
                  <w:rStyle w:val="Hyperlink"/>
                </w:rPr>
                <w:t xml:space="preserve">Meetings</w:t>
              </w:r>
            </w:hyperlink>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Trace every section to its source and history.</w:t>
            </w:r>
          </w:p>
        </w:tc>
        <w:tc>
          <w:tcPr>
            <w:tcW w:type="dxa" w:w="5184"/>
            <w:tcMar>
              <w:top w:w="90" w:type="dxa"/>
              <w:left w:w="90" w:type="dxa"/>
              <w:bottom w:w="90" w:type="dxa"/>
              <w:right w:w="90" w:type="dxa"/>
            </w:tcMar>
          </w:tcPr>
          <w:p>
            <w:pPr>
              <w:pStyle w:val="Compact"/>
            </w:pPr>
            <w:hyperlink r:id="rId32">
              <w:r>
                <w:rPr>
                  <w:rStyle w:val="Hyperlink"/>
                </w:rPr>
                <w:t xml:space="preserve">Code</w:t>
              </w:r>
            </w:hyperlink>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Bring parcel context and cited rules into one review.</w:t>
            </w:r>
          </w:p>
        </w:tc>
        <w:tc>
          <w:tcPr>
            <w:tcW w:type="dxa" w:w="5184"/>
            <w:tcMar>
              <w:top w:w="90" w:type="dxa"/>
              <w:left w:w="90" w:type="dxa"/>
              <w:bottom w:w="90" w:type="dxa"/>
              <w:right w:w="90" w:type="dxa"/>
            </w:tcMar>
          </w:tcPr>
          <w:p>
            <w:pPr>
              <w:pStyle w:val="Compact"/>
            </w:pPr>
            <w:hyperlink r:id="rId33">
              <w:r>
                <w:rPr>
                  <w:rStyle w:val="Hyperlink"/>
                </w:rPr>
                <w:t xml:space="preserve">Zoning</w:t>
              </w:r>
            </w:hyperlink>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Connect policy, analysis and municipal progress.</w:t>
            </w:r>
          </w:p>
        </w:tc>
        <w:tc>
          <w:tcPr>
            <w:tcW w:type="dxa" w:w="5184"/>
            <w:tcMar>
              <w:top w:w="90" w:type="dxa"/>
              <w:left w:w="90" w:type="dxa"/>
              <w:bottom w:w="90" w:type="dxa"/>
              <w:right w:w="90" w:type="dxa"/>
            </w:tcMar>
          </w:tcPr>
          <w:p>
            <w:pPr>
              <w:pStyle w:val="Compact"/>
            </w:pPr>
            <w:hyperlink r:id="rId34">
              <w:r>
                <w:rPr>
                  <w:rStyle w:val="Hyperlink"/>
                </w:rPr>
                <w:t xml:space="preserve">Planning</w:t>
              </w:r>
            </w:hyperlink>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Prepare a complete, cited intake for staff review.</w:t>
            </w:r>
          </w:p>
        </w:tc>
        <w:tc>
          <w:tcPr>
            <w:tcW w:type="dxa" w:w="5184"/>
            <w:tcMar>
              <w:top w:w="90" w:type="dxa"/>
              <w:left w:w="90" w:type="dxa"/>
              <w:bottom w:w="90" w:type="dxa"/>
              <w:right w:w="90" w:type="dxa"/>
            </w:tcMar>
          </w:tcPr>
          <w:p>
            <w:pPr>
              <w:pStyle w:val="Compact"/>
            </w:pPr>
            <w:hyperlink r:id="rId35">
              <w:r>
                <w:rPr>
                  <w:rStyle w:val="Hyperlink"/>
                </w:rPr>
                <w:t xml:space="preserve">Permitting</w:t>
              </w:r>
            </w:hyperlink>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Preserve evidence and review every draft finding.</w:t>
            </w:r>
          </w:p>
        </w:tc>
        <w:tc>
          <w:tcPr>
            <w:tcW w:type="dxa" w:w="5184"/>
            <w:tcMar>
              <w:top w:w="90" w:type="dxa"/>
              <w:left w:w="90" w:type="dxa"/>
              <w:bottom w:w="90" w:type="dxa"/>
              <w:right w:w="90" w:type="dxa"/>
            </w:tcMar>
          </w:tcPr>
          <w:p>
            <w:pPr>
              <w:pStyle w:val="Compact"/>
            </w:pPr>
            <w:hyperlink r:id="rId36">
              <w:r>
                <w:rPr>
                  <w:rStyle w:val="Hyperlink"/>
                </w:rPr>
                <w:t xml:space="preserve">Inspections</w:t>
              </w:r>
            </w:hyperlink>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Capture the meeting and preserve its evidence.</w:t>
            </w:r>
          </w:p>
        </w:tc>
        <w:tc>
          <w:tcPr>
            <w:tcW w:type="dxa" w:w="5184"/>
            <w:tcMar>
              <w:top w:w="90" w:type="dxa"/>
              <w:left w:w="90" w:type="dxa"/>
              <w:bottom w:w="90" w:type="dxa"/>
              <w:right w:w="90" w:type="dxa"/>
            </w:tcMar>
          </w:tcPr>
          <w:p>
            <w:pPr>
              <w:pStyle w:val="Compact"/>
            </w:pPr>
            <w:hyperlink r:id="rId37">
              <w:r>
                <w:rPr>
                  <w:rStyle w:val="Hyperlink"/>
                </w:rPr>
                <w:t xml:space="preserve">Station</w:t>
              </w:r>
            </w:hyperlink>
          </w:p>
        </w:tc>
      </w:tr>
    </w:tbl>
    <w:bookmarkEnd w:id="38"/>
    <w:bookmarkEnd w:id="39"/>
    <w:bookmarkStart w:id="43" w:name="architecture"/>
    <w:p>
      <w:pPr>
        <w:pStyle w:val="Heading1"/>
      </w:pPr>
      <w:r>
        <w:t xml:space="preserve">Architecture</w:t>
      </w:r>
    </w:p>
    <w:p>
      <w:pPr>
        <w:pStyle w:val="CaptionedFigure"/>
      </w:pPr>
      <w:r>
        <w:drawing>
          <wp:inline>
            <wp:extent cx="6489700" cy="2298435"/>
            <wp:effectExtent b="0" l="0" r="0" t="0"/>
            <wp:docPr descr="Townlight Suite architecture" title="" id="41" name="Picture"/>
            <a:graphic>
              <a:graphicData uri="http://schemas.openxmlformats.org/drawingml/2006/picture">
                <pic:pic>
                  <pic:nvPicPr>
                    <pic:cNvPr descr="C:/Users/scott/Documents/Codex/2026-10-26/read-this-and-check-the-software/outputs/townlight-beta-1-documentation/site/assets/word/suite-architecture.png" id="42" name="Picture"/>
                    <pic:cNvPicPr>
                      <a:picLocks noChangeArrowheads="1" noChangeAspect="1"/>
                    </pic:cNvPicPr>
                  </pic:nvPicPr>
                  <pic:blipFill>
                    <a:blip r:embed="rId40"/>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Suite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43"/>
    <w:bookmarkStart w:id="53" w:name="existing-product-operating-guides"/>
    <w:p>
      <w:pPr>
        <w:pStyle w:val="Heading1"/>
      </w:pPr>
      <w:r>
        <w:t xml:space="preserve">Existing product operating guides</w:t>
      </w:r>
    </w:p>
    <w:p>
      <w:pPr>
        <w:pStyle w:val="FirstParagraph"/>
      </w:pPr>
      <w:r>
        <w:t xml:space="preserve">Use each product’s operating chapter for its actual controls, inputs, readback and refusal states. The suite coordinates evidence and authority; it does not replace those product decisions. Station requires an explicitly configured paired runtime and its separate operating procedure. The Code importer submits directly; Planning’s source library has its own preview/confirmation flow.</w:t>
      </w:r>
    </w:p>
    <w:p>
      <w:pPr>
        <w:pStyle w:val="Compact"/>
        <w:numPr>
          <w:ilvl w:val="0"/>
          <w:numId w:val="1003"/>
        </w:numPr>
      </w:pPr>
      <w:hyperlink r:id="rId44">
        <w:r>
          <w:rPr>
            <w:rStyle w:val="Hyperlink"/>
          </w:rPr>
          <w:t xml:space="preserve">Core operating procedure</w:t>
        </w:r>
      </w:hyperlink>
      <w:r>
        <w:t xml:space="preserve">.</w:t>
      </w:r>
    </w:p>
    <w:p>
      <w:pPr>
        <w:pStyle w:val="Compact"/>
        <w:numPr>
          <w:ilvl w:val="0"/>
          <w:numId w:val="1003"/>
        </w:numPr>
      </w:pPr>
      <w:hyperlink r:id="rId45">
        <w:r>
          <w:rPr>
            <w:rStyle w:val="Hyperlink"/>
          </w:rPr>
          <w:t xml:space="preserve">Records operating procedure</w:t>
        </w:r>
      </w:hyperlink>
      <w:r>
        <w:t xml:space="preserve">.</w:t>
      </w:r>
    </w:p>
    <w:p>
      <w:pPr>
        <w:pStyle w:val="Compact"/>
        <w:numPr>
          <w:ilvl w:val="0"/>
          <w:numId w:val="1003"/>
        </w:numPr>
      </w:pPr>
      <w:hyperlink r:id="rId46">
        <w:r>
          <w:rPr>
            <w:rStyle w:val="Hyperlink"/>
          </w:rPr>
          <w:t xml:space="preserve">Meetings operating procedure</w:t>
        </w:r>
      </w:hyperlink>
      <w:r>
        <w:t xml:space="preserve">.</w:t>
      </w:r>
    </w:p>
    <w:p>
      <w:pPr>
        <w:pStyle w:val="Compact"/>
        <w:numPr>
          <w:ilvl w:val="0"/>
          <w:numId w:val="1003"/>
        </w:numPr>
      </w:pPr>
      <w:hyperlink r:id="rId47">
        <w:r>
          <w:rPr>
            <w:rStyle w:val="Hyperlink"/>
          </w:rPr>
          <w:t xml:space="preserve">Code operating procedure</w:t>
        </w:r>
      </w:hyperlink>
      <w:r>
        <w:t xml:space="preserve">.</w:t>
      </w:r>
    </w:p>
    <w:p>
      <w:pPr>
        <w:pStyle w:val="Compact"/>
        <w:numPr>
          <w:ilvl w:val="0"/>
          <w:numId w:val="1003"/>
        </w:numPr>
      </w:pPr>
      <w:hyperlink r:id="rId48">
        <w:r>
          <w:rPr>
            <w:rStyle w:val="Hyperlink"/>
          </w:rPr>
          <w:t xml:space="preserve">Zoning operating procedure</w:t>
        </w:r>
      </w:hyperlink>
      <w:r>
        <w:t xml:space="preserve">.</w:t>
      </w:r>
    </w:p>
    <w:p>
      <w:pPr>
        <w:pStyle w:val="Compact"/>
        <w:numPr>
          <w:ilvl w:val="0"/>
          <w:numId w:val="1003"/>
        </w:numPr>
      </w:pPr>
      <w:hyperlink r:id="rId49">
        <w:r>
          <w:rPr>
            <w:rStyle w:val="Hyperlink"/>
          </w:rPr>
          <w:t xml:space="preserve">Planning operating procedure</w:t>
        </w:r>
      </w:hyperlink>
      <w:r>
        <w:t xml:space="preserve">.</w:t>
      </w:r>
    </w:p>
    <w:p>
      <w:pPr>
        <w:pStyle w:val="Compact"/>
        <w:numPr>
          <w:ilvl w:val="0"/>
          <w:numId w:val="1003"/>
        </w:numPr>
      </w:pPr>
      <w:hyperlink r:id="rId50">
        <w:r>
          <w:rPr>
            <w:rStyle w:val="Hyperlink"/>
          </w:rPr>
          <w:t xml:space="preserve">Permitting operating procedure</w:t>
        </w:r>
      </w:hyperlink>
      <w:r>
        <w:t xml:space="preserve">.</w:t>
      </w:r>
    </w:p>
    <w:p>
      <w:pPr>
        <w:pStyle w:val="Compact"/>
        <w:numPr>
          <w:ilvl w:val="0"/>
          <w:numId w:val="1003"/>
        </w:numPr>
      </w:pPr>
      <w:hyperlink r:id="rId51">
        <w:r>
          <w:rPr>
            <w:rStyle w:val="Hyperlink"/>
          </w:rPr>
          <w:t xml:space="preserve">Inspections operating procedure</w:t>
        </w:r>
      </w:hyperlink>
      <w:r>
        <w:t xml:space="preserve">.</w:t>
      </w:r>
    </w:p>
    <w:p>
      <w:pPr>
        <w:pStyle w:val="Compact"/>
        <w:numPr>
          <w:ilvl w:val="0"/>
          <w:numId w:val="1003"/>
        </w:numPr>
      </w:pPr>
      <w:hyperlink r:id="rId52">
        <w:r>
          <w:rPr>
            <w:rStyle w:val="Hyperlink"/>
          </w:rPr>
          <w:t xml:space="preserve">Station operating procedure</w:t>
        </w:r>
      </w:hyperlink>
      <w:r>
        <w:t xml:space="preserve">.</w:t>
      </w:r>
    </w:p>
    <w:bookmarkEnd w:id="53"/>
    <w:bookmarkStart w:id="60" w:name="technical-specifications"/>
    <w:p>
      <w:pPr>
        <w:pStyle w:val="Heading1"/>
      </w:pPr>
      <w:r>
        <w:t xml:space="preserve">Technical specifications</w:t>
      </w:r>
    </w:p>
    <w:bookmarkStart w:id="54"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54"/>
    <w:bookmarkStart w:id="55" w:name="data-and-consistency"/>
    <w:p>
      <w:pPr>
        <w:pStyle w:val="Heading2"/>
      </w:pPr>
      <w:r>
        <w:t xml:space="preserve">Data and consistency</w:t>
      </w:r>
    </w:p>
    <w:p>
      <w:pPr>
        <w:pStyle w:val="FirstParagraph"/>
      </w:pPr>
      <w:r>
        <w:t xml:space="preserve">Each product retains the records described in its manual. The common desktop uses one canonical PostgreSQL-backed domain with product-owned tables/schemas and managed file storage. Station has a separate database and media store.</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55"/>
    <w:bookmarkStart w:id="58"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56">
        <w:r>
          <w:rPr>
            <w:rStyle w:val="Hyperlink"/>
          </w:rPr>
          <w:t xml:space="preserve">runtime payload lock</w:t>
        </w:r>
      </w:hyperlink>
      <w:r>
        <w:t xml:space="preserve"> </w:t>
      </w:r>
      <w:r>
        <w:t xml:space="preserve">records pinned files, sizes and hashes. The</w:t>
      </w:r>
      <w:r>
        <w:t xml:space="preserve"> </w:t>
      </w:r>
      <w:hyperlink r:id="rId57">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58"/>
    <w:bookmarkStart w:id="59" w:name="station-operator-and-media-components"/>
    <w:p>
      <w:pPr>
        <w:pStyle w:val="Heading2"/>
      </w:pPr>
      <w:r>
        <w:t xml:space="preserve">Station operator and media components</w:t>
      </w:r>
    </w:p>
    <w:p>
      <w:pPr>
        <w:pStyle w:val="FirstParagraph"/>
      </w:pPr>
      <w:r>
        <w:t xml:space="preserve">The native desktop frontend above is distinct from Station’s browser operator. The pinned operator package</w:t>
      </w:r>
      <w:r>
        <w:t xml:space="preserve"> </w:t>
      </w:r>
      <w:r>
        <w:rPr>
          <w:rStyle w:val="VerbatimChar"/>
        </w:rPr>
        <w:t xml:space="preserve">townlight-station-operator</w:t>
      </w:r>
      <w:r>
        <w:t xml:space="preserve"> </w:t>
      </w:r>
      <w:r>
        <w:t xml:space="preserve">is version</w:t>
      </w:r>
      <w:r>
        <w:t xml:space="preserve"> </w:t>
      </w:r>
      <w:r>
        <w:rPr>
          <w:b/>
          <w:bCs/>
        </w:rPr>
        <w:t xml:space="preserve">0.1.0</w:t>
      </w:r>
      <w:r>
        <w:t xml:space="preserve">, using</w:t>
      </w:r>
      <w:r>
        <w:t xml:space="preserve"> </w:t>
      </w:r>
      <w:r>
        <w:rPr>
          <w:b/>
          <w:bCs/>
        </w:rPr>
        <w:t xml:space="preserve">React/react-dom 19.1.1</w:t>
      </w:r>
      <w:r>
        <w:t xml:space="preserve">,</w:t>
      </w:r>
      <w:r>
        <w:t xml:space="preserve"> </w:t>
      </w:r>
      <w:r>
        <w:rPr>
          <w:b/>
          <w:bCs/>
        </w:rPr>
        <w:t xml:space="preserve">TypeScript 5.9.2</w:t>
      </w:r>
      <w:r>
        <w:t xml:space="preserve">,</w:t>
      </w:r>
      <w:r>
        <w:t xml:space="preserve"> </w:t>
      </w:r>
      <w:r>
        <w:rPr>
          <w:b/>
          <w:bCs/>
        </w:rPr>
        <w:t xml:space="preserve">Vite 7.3.7</w:t>
      </w:r>
      <w:r>
        <w:t xml:space="preserve"> </w:t>
      </w:r>
      <w:r>
        <w:t xml:space="preserve">and the React Vite plugin 5.0.2. Station serves its built assets through its own operator API. Its Python control/API package remains</w:t>
      </w:r>
      <w:r>
        <w:t xml:space="preserve"> </w:t>
      </w:r>
      <w:r>
        <w:rPr>
          <w:b/>
          <w:bCs/>
        </w:rPr>
        <w:t xml:space="preserve">townlight-station 0.3.0</w:t>
      </w:r>
      <w:r>
        <w:t xml:space="preserve">, while its retained storage identity remains</w:t>
      </w:r>
      <w:r>
        <w:t xml:space="preserve"> </w:t>
      </w:r>
      <w:r>
        <w:rPr>
          <w:b/>
          <w:bCs/>
        </w:rPr>
        <w:t xml:space="preserve">0.1.0</w:t>
      </w:r>
      <w:r>
        <w:t xml:space="preserve">. These identities have different purposes and are not renumbered.</w:t>
      </w:r>
    </w:p>
    <w:p>
      <w:pPr>
        <w:pStyle w:val="BodyText"/>
      </w:pPr>
      <w:r>
        <w:t xml:space="preserve">The separate pinned CivicCast-derived media engine uses Python/native GStreamer processing and bounded media children. It is not the standalone CivicCast application. Station’s control database, data root, service/configuration and update identity remain independent. This describes the current mixed stack; no runtime rewrite or CivicCast migration is implied.</w:t>
      </w:r>
    </w:p>
    <w:bookmarkEnd w:id="59"/>
    <w:bookmarkEnd w:id="60"/>
    <w:bookmarkStart w:id="62" w:name="configuration-and-administration"/>
    <w:p>
      <w:pPr>
        <w:pStyle w:val="Heading1"/>
      </w:pPr>
      <w:r>
        <w:t xml:space="preserve">Configuration and administration</w:t>
      </w:r>
    </w:p>
    <w:bookmarkStart w:id="61"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61"/>
    <w:bookmarkEnd w:id="62"/>
    <w:bookmarkStart w:id="70" w:name="api-and-integration-examples"/>
    <w:p>
      <w:pPr>
        <w:pStyle w:val="Heading1"/>
      </w:pPr>
      <w:r>
        <w:t xml:space="preserve">API and integration examples</w:t>
      </w:r>
    </w:p>
    <w:bookmarkStart w:id="63"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'get-proceedings'</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63"/>
    <w:bookmarkStart w:id="64"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'http://127.0.0.1:15480/desktop/v1/meetings/station/catalog'</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64"/>
    <w:bookmarkStart w:id="65"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65"/>
    <w:bookmarkStart w:id="69" w:name="complete-technical-contract"/>
    <w:p>
      <w:pPr>
        <w:pStyle w:val="Heading2"/>
      </w:pPr>
      <w:r>
        <w:t xml:space="preserve">Complete technical contract</w:t>
      </w:r>
    </w:p>
    <w:p>
      <w:pPr>
        <w:pStyle w:val="FirstParagraph"/>
      </w:pPr>
      <w:r>
        <w:t xml:space="preserve">Read the</w:t>
      </w:r>
      <w:r>
        <w:t xml:space="preserve"> </w:t>
      </w:r>
      <w:hyperlink r:id="rId66">
        <w:r>
          <w:rPr>
            <w:rStyle w:val="Hyperlink"/>
          </w:rPr>
          <w:t xml:space="preserve">Suite API reference</w:t>
        </w:r>
      </w:hyperlink>
      <w:r>
        <w:t xml:space="preserve"> </w:t>
      </w:r>
      <w:r>
        <w:t xml:space="preserve">for every documented operation, request field, constraint, response declaration and source supplement. Download the</w:t>
      </w:r>
      <w:r>
        <w:t xml:space="preserve"> </w:t>
      </w:r>
      <w:hyperlink r:id="rId67">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68">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69"/>
    <w:bookmarkEnd w:id="70"/>
    <w:bookmarkStart w:id="72"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71">
        <w:r>
          <w:rPr>
            <w:rStyle w:val="Hyperlink"/>
          </w:rPr>
          <w:t xml:space="preserve">MCP source reference</w:t>
        </w:r>
      </w:hyperlink>
      <w:r>
        <w:t xml:space="preserve">. Station meeting capture does not become live speech recognition because this optional donor adapter exists.</w:t>
      </w:r>
    </w:p>
    <w:bookmarkEnd w:id="72"/>
    <w:bookmarkStart w:id="73"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73"/>
    <w:bookmarkStart w:id="74"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74"/>
    <w:bookmarkStart w:id="75"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75"/>
    <w:bookmarkStart w:id="78"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Normal empty-profile setup; canonical activation; UI-created staff and sign-in; staff denied user administration; coherent backup, mutation, restore, Start/Check and retained/absent record readback.</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Intake, note, original attachment/readback, separate release copy, explicit release decision, draft/approval, approved response and release package exports, fulfillment/readback and native workspace.</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Meeting/agenda, packet assembly, motion/vote, supplied transcript, reviewed/adopted minutes, restricted local archive and proceedings readback; Code decision integration.</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Synthetic official source import, exact citation/history/export; proposal into Meetings, recorded adoption and separately codified version; native connection readback.</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GeoJSON/PostGIS import, cited dimensional rule, parcel answer, staff review/history/snapshot and native workspace.</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Adopted source import with neighborhood, saved/reviewed analysis and snapshot, persisted initiative/history and draft amendment, public explorer neighborhood readback and native workspace.</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requirement import, source-grounded materials/pathway/timing, saved intake/review, separate hash-checked Records copy and private handoff; contact exclusion; native workspace.</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original/hash, supplied observations and voice summary, saved/reviewed case/readback, separate exact Records copy and private handoff; address exclusion; native workspace.</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Actual native staff session and normally created meeting; headless operator live start/stop, decoded generated audio/video, served hash, private Records readback, idempotent locked original and logout.</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76">
        <w:r>
          <w:rPr>
            <w:rStyle w:val="Hyperlink"/>
          </w:rPr>
          <w:t xml:space="preserve">workflow matrix</w:t>
        </w:r>
      </w:hyperlink>
      <w:r>
        <w:t xml:space="preserve"> </w:t>
      </w:r>
      <w:r>
        <w:t xml:space="preserve">identifies raw receipt filenames. The</w:t>
      </w:r>
      <w:r>
        <w:t xml:space="preserve"> </w:t>
      </w:r>
      <w:hyperlink r:id="rId77">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78"/>
    <w:bookmarkStart w:id="90" w:name="terms-of-service-and-license"/>
    <w:p>
      <w:pPr>
        <w:pStyle w:val="Heading1"/>
      </w:pPr>
      <w:r>
        <w:t xml:space="preserve">Terms of service and license</w:t>
      </w:r>
    </w:p>
    <w:bookmarkStart w:id="79"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79"/>
    <w:bookmarkStart w:id="82"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80">
        <w:r>
          <w:rPr>
            <w:rStyle w:val="Hyperlink"/>
          </w:rPr>
          <w:t xml:space="preserve">GNU license reference</w:t>
        </w:r>
      </w:hyperlink>
      <w:r>
        <w:t xml:space="preserve"> </w:t>
      </w:r>
      <w:r>
        <w:t xml:space="preserve">and</w:t>
      </w:r>
      <w:r>
        <w:t xml:space="preserve"> </w:t>
      </w:r>
      <w:hyperlink r:id="rId81">
        <w:r>
          <w:rPr>
            <w:rStyle w:val="Hyperlink"/>
          </w:rPr>
          <w:t xml:space="preserve">GNU licensing FAQ</w:t>
        </w:r>
      </w:hyperlink>
      <w:r>
        <w:t xml:space="preserve">.</w:t>
      </w:r>
    </w:p>
    <w:bookmarkEnd w:id="82"/>
    <w:bookmarkStart w:id="83"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83"/>
    <w:bookmarkStart w:id="84"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84"/>
    <w:bookmarkStart w:id="85"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85"/>
    <w:bookmarkStart w:id="86"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86"/>
    <w:bookmarkStart w:id="87"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87"/>
    <w:bookmarkStart w:id="88"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88"/>
    <w:bookmarkStart w:id="89"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89"/>
    <w:bookmarkEnd w:id="90"/>
    <w:bookmarkStart w:id="91"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91"/>
    <w:bookmarkStart w:id="93" w:name="alphabetical-subject-index"/>
    <w:p>
      <w:pPr>
        <w:pStyle w:val="Heading1"/>
      </w:pPr>
      <w:r>
        <w:t xml:space="preserve">Alphabetical subject index</w:t>
      </w:r>
    </w:p>
    <w:p>
      <w:pPr>
        <w:pStyle w:val="Compact"/>
        <w:numPr>
          <w:ilvl w:val="0"/>
          <w:numId w:val="1004"/>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4"/>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4"/>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4"/>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4"/>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4"/>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4"/>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4"/>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4"/>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4"/>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4"/>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4"/>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4"/>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4"/>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4"/>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4"/>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4"/>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4"/>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92" w:name="operating-subject-links"/>
    <w:p>
      <w:pPr>
        <w:pStyle w:val="Heading2"/>
      </w:pPr>
      <w:r>
        <w:t xml:space="preserve">Operating subject links</w:t>
      </w:r>
    </w:p>
    <w:p>
      <w:pPr>
        <w:pStyle w:val="Compact"/>
        <w:numPr>
          <w:ilvl w:val="0"/>
          <w:numId w:val="1005"/>
        </w:numPr>
      </w:pPr>
      <w:r>
        <w:rPr>
          <w:b/>
          <w:bCs/>
        </w:rPr>
        <w:t xml:space="preserve">Existing product operating guides</w:t>
      </w:r>
      <w:r>
        <w:t xml:space="preserve"> </w:t>
      </w:r>
      <w:r>
        <w:t xml:space="preserve">—</w:t>
      </w:r>
      <w:r>
        <w:t xml:space="preserve"> </w:t>
      </w:r>
      <w:hyperlink w:anchor="existing-product-operating-guides">
        <w:r>
          <w:rPr>
            <w:rStyle w:val="Hyperlink"/>
          </w:rPr>
          <w:t xml:space="preserve">Existing product operating guides</w:t>
        </w:r>
      </w:hyperlink>
      <w:r>
        <w:t xml:space="preserve">.</w:t>
      </w:r>
    </w:p>
    <w:bookmarkEnd w:id="92"/>
    <w:bookmarkEnd w:id="93"/>
    <w:bookmarkStart w:id="9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p>
      <w:pPr>
        <w:pStyle w:val="Compact"/>
        <w:numPr>
          <w:ilvl w:val="0"/>
          <w:numId w:val="1006"/>
        </w:numPr>
      </w:pPr>
      <w:hyperlink r:id="rId94">
        <w:r>
          <w:rPr>
            <w:rStyle w:val="Hyperlink"/>
          </w:rPr>
          <w:t xml:space="preserve">Source inventory and file hashes</w:t>
        </w:r>
      </w:hyperlink>
    </w:p>
    <w:p>
      <w:pPr>
        <w:pStyle w:val="Compact"/>
        <w:numPr>
          <w:ilvl w:val="0"/>
          <w:numId w:val="1006"/>
        </w:numPr>
      </w:pPr>
      <w:hyperlink r:id="rId57">
        <w:r>
          <w:rPr>
            <w:rStyle w:val="Hyperlink"/>
          </w:rPr>
          <w:t xml:space="preserve">All component metadata</w:t>
        </w:r>
      </w:hyperlink>
    </w:p>
    <w:p>
      <w:pPr>
        <w:pStyle w:val="Compact"/>
        <w:numPr>
          <w:ilvl w:val="0"/>
          <w:numId w:val="1006"/>
        </w:numPr>
      </w:pPr>
      <w:hyperlink r:id="rId95">
        <w:r>
          <w:rPr>
            <w:rStyle w:val="Hyperlink"/>
          </w:rPr>
          <w:t xml:space="preserve">Installed domain OpenAPI</w:t>
        </w:r>
      </w:hyperlink>
    </w:p>
    <w:p>
      <w:pPr>
        <w:pStyle w:val="Compact"/>
        <w:numPr>
          <w:ilvl w:val="0"/>
          <w:numId w:val="1006"/>
        </w:numPr>
      </w:pPr>
      <w:hyperlink r:id="rId76">
        <w:r>
          <w:rPr>
            <w:rStyle w:val="Hyperlink"/>
          </w:rPr>
          <w:t xml:space="preserve">Workflow matrix</w:t>
        </w:r>
      </w:hyperlink>
    </w:p>
    <w:p>
      <w:pPr>
        <w:pStyle w:val="Compact"/>
        <w:numPr>
          <w:ilvl w:val="0"/>
          <w:numId w:val="1006"/>
        </w:numPr>
      </w:pPr>
      <w:hyperlink r:id="rId96">
        <w:r>
          <w:rPr>
            <w:rStyle w:val="Hyperlink"/>
          </w:rPr>
          <w:t xml:space="preserve">Full AGPL text</w:t>
        </w:r>
      </w:hyperlink>
    </w:p>
    <w:bookmarkEnd w:id="9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0" Type="http://schemas.openxmlformats.org/officeDocument/2006/relationships/image" Target="media/rId40.png"/><Relationship Id="rId67" Type="http://schemas.openxmlformats.org/officeDocument/2006/relationships/hyperlink" Target="../api/suite-openapi.json" TargetMode="External"/><Relationship Id="rId66" Type="http://schemas.openxmlformats.org/officeDocument/2006/relationships/hyperlink" Target="../api/suite.html" TargetMode="External"/><Relationship Id="rId32" Type="http://schemas.openxmlformats.org/officeDocument/2006/relationships/hyperlink" Target="../manuals/code.html" TargetMode="External"/><Relationship Id="rId29" Type="http://schemas.openxmlformats.org/officeDocument/2006/relationships/hyperlink" Target="../manuals/core.html" TargetMode="External"/><Relationship Id="rId36" Type="http://schemas.openxmlformats.org/officeDocument/2006/relationships/hyperlink" Target="../manuals/inspections.html" TargetMode="External"/><Relationship Id="rId31" Type="http://schemas.openxmlformats.org/officeDocument/2006/relationships/hyperlink" Target="../manuals/meetings.html" TargetMode="External"/><Relationship Id="rId35" Type="http://schemas.openxmlformats.org/officeDocument/2006/relationships/hyperlink" Target="../manuals/permitting.html" TargetMode="External"/><Relationship Id="rId34" Type="http://schemas.openxmlformats.org/officeDocument/2006/relationships/hyperlink" Target="../manuals/planning.html" TargetMode="External"/><Relationship Id="rId30" Type="http://schemas.openxmlformats.org/officeDocument/2006/relationships/hyperlink" Target="../manuals/records.html" TargetMode="External"/><Relationship Id="rId37" Type="http://schemas.openxmlformats.org/officeDocument/2006/relationships/hyperlink" Target="../manuals/station.html" TargetMode="External"/><Relationship Id="rId33" Type="http://schemas.openxmlformats.org/officeDocument/2006/relationships/hyperlink" Target="../manuals/zoning.html" TargetMode="External"/><Relationship Id="rId96" Type="http://schemas.openxmlformats.org/officeDocument/2006/relationships/hyperlink" Target="../reference/AGPL-3.0.txt" TargetMode="External"/><Relationship Id="rId57" Type="http://schemas.openxmlformats.org/officeDocument/2006/relationships/hyperlink" Target="../reference/component-metadata.json" TargetMode="External"/><Relationship Id="rId95" Type="http://schemas.openxmlformats.org/officeDocument/2006/relationships/hyperlink" Target="../reference/desktop-domain-openapi.json" TargetMode="External"/><Relationship Id="rId68" Type="http://schemas.openxmlformats.org/officeDocument/2006/relationships/hyperlink" Target="../reference/index.html" TargetMode="External"/><Relationship Id="rId71" Type="http://schemas.openxmlformats.org/officeDocument/2006/relationships/hyperlink" Target="../reference/mcp.html" TargetMode="External"/><Relationship Id="rId56" Type="http://schemas.openxmlformats.org/officeDocument/2006/relationships/hyperlink" Target="../reference/runtime-payload-lock.json" TargetMode="External"/><Relationship Id="rId77" Type="http://schemas.openxmlformats.org/officeDocument/2006/relationships/hyperlink" Target="../reference/sandbox-evidence-index.json" TargetMode="External"/><Relationship Id="rId94" Type="http://schemas.openxmlformats.org/officeDocument/2006/relationships/hyperlink" Target="../reference/source-inventory.json" TargetMode="External"/><Relationship Id="rId76" Type="http://schemas.openxmlformats.org/officeDocument/2006/relationships/hyperlink" Target="../reference/workflow-matrix.json" TargetMode="External"/><Relationship Id="rId47" Type="http://schemas.openxmlformats.org/officeDocument/2006/relationships/hyperlink" Target="../manuals/code.html#cited-questions-summaries-and-local-synchronization" TargetMode="External"/><Relationship Id="rId44" Type="http://schemas.openxmlformats.org/officeDocument/2006/relationships/hyperlink" Target="../manuals/core.html#shared-catalog-rules-and-scaffolding" TargetMode="External"/><Relationship Id="rId80" Type="http://schemas.openxmlformats.org/officeDocument/2006/relationships/hyperlink" Target="https://www.gnu.org/licenses/agpl-3.0.html" TargetMode="External"/><Relationship Id="rId81" Type="http://schemas.openxmlformats.org/officeDocument/2006/relationships/hyperlink" Target="https://www.gnu.org/licenses/gpl-faq.en.html" TargetMode="External"/><Relationship Id="rId51" Type="http://schemas.openxmlformats.org/officeDocument/2006/relationships/hyperlink" Target="../manuals/inspections.html#evidence-limits-outlines-and-previous-cases" TargetMode="External"/><Relationship Id="rId46" Type="http://schemas.openxmlformats.org/officeDocument/2006/relationships/hyperlink" Target="../manuals/meetings.html#transcript-corrections-and-action-items" TargetMode="External"/><Relationship Id="rId50" Type="http://schemas.openxmlformats.org/officeDocument/2006/relationships/hyperlink" Target="../manuals/permitting.html#describe-a-project-and-read-source-grounded-guidance" TargetMode="External"/><Relationship Id="rId49" Type="http://schemas.openxmlformats.org/officeDocument/2006/relationships/hyperlink" Target="../manuals/planning.html#exploration-initiatives-and-amendments" TargetMode="External"/><Relationship Id="rId45" Type="http://schemas.openxmlformats.org/officeDocument/2006/relationships/hyperlink" Target="../manuals/records.html#fees-messages-notifications-and-local-intake" TargetMode="External"/><Relationship Id="rId52" Type="http://schemas.openxmlformats.org/officeDocument/2006/relationships/hyperlink" Target="../manuals/station.html#scheduling-playout-and-recovery" TargetMode="External"/><Relationship Id="rId48" Type="http://schemas.openxmlformats.org/officeDocument/2006/relationships/hyperlink" Target="../manuals/zoning.html#discretionary-processes-and-staff-review"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api/suite-openapi.json" TargetMode="External"/><Relationship Id="rId66" Type="http://schemas.openxmlformats.org/officeDocument/2006/relationships/hyperlink" Target="../api/suite.html" TargetMode="External"/><Relationship Id="rId32" Type="http://schemas.openxmlformats.org/officeDocument/2006/relationships/hyperlink" Target="../manuals/code.html" TargetMode="External"/><Relationship Id="rId29" Type="http://schemas.openxmlformats.org/officeDocument/2006/relationships/hyperlink" Target="../manuals/core.html" TargetMode="External"/><Relationship Id="rId36" Type="http://schemas.openxmlformats.org/officeDocument/2006/relationships/hyperlink" Target="../manuals/inspections.html" TargetMode="External"/><Relationship Id="rId31" Type="http://schemas.openxmlformats.org/officeDocument/2006/relationships/hyperlink" Target="../manuals/meetings.html" TargetMode="External"/><Relationship Id="rId35" Type="http://schemas.openxmlformats.org/officeDocument/2006/relationships/hyperlink" Target="../manuals/permitting.html" TargetMode="External"/><Relationship Id="rId34" Type="http://schemas.openxmlformats.org/officeDocument/2006/relationships/hyperlink" Target="../manuals/planning.html" TargetMode="External"/><Relationship Id="rId30" Type="http://schemas.openxmlformats.org/officeDocument/2006/relationships/hyperlink" Target="../manuals/records.html" TargetMode="External"/><Relationship Id="rId37" Type="http://schemas.openxmlformats.org/officeDocument/2006/relationships/hyperlink" Target="../manuals/station.html" TargetMode="External"/><Relationship Id="rId33" Type="http://schemas.openxmlformats.org/officeDocument/2006/relationships/hyperlink" Target="../manuals/zoning.html" TargetMode="External"/><Relationship Id="rId96" Type="http://schemas.openxmlformats.org/officeDocument/2006/relationships/hyperlink" Target="../reference/AGPL-3.0.txt" TargetMode="External"/><Relationship Id="rId57" Type="http://schemas.openxmlformats.org/officeDocument/2006/relationships/hyperlink" Target="../reference/component-metadata.json" TargetMode="External"/><Relationship Id="rId95" Type="http://schemas.openxmlformats.org/officeDocument/2006/relationships/hyperlink" Target="../reference/desktop-domain-openapi.json" TargetMode="External"/><Relationship Id="rId68" Type="http://schemas.openxmlformats.org/officeDocument/2006/relationships/hyperlink" Target="../reference/index.html" TargetMode="External"/><Relationship Id="rId71" Type="http://schemas.openxmlformats.org/officeDocument/2006/relationships/hyperlink" Target="../reference/mcp.html" TargetMode="External"/><Relationship Id="rId56" Type="http://schemas.openxmlformats.org/officeDocument/2006/relationships/hyperlink" Target="../reference/runtime-payload-lock.json" TargetMode="External"/><Relationship Id="rId77" Type="http://schemas.openxmlformats.org/officeDocument/2006/relationships/hyperlink" Target="../reference/sandbox-evidence-index.json" TargetMode="External"/><Relationship Id="rId94" Type="http://schemas.openxmlformats.org/officeDocument/2006/relationships/hyperlink" Target="../reference/source-inventory.json" TargetMode="External"/><Relationship Id="rId76" Type="http://schemas.openxmlformats.org/officeDocument/2006/relationships/hyperlink" Target="../reference/workflow-matrix.json" TargetMode="External"/><Relationship Id="rId47" Type="http://schemas.openxmlformats.org/officeDocument/2006/relationships/hyperlink" Target="../manuals/code.html#cited-questions-summaries-and-local-synchronization" TargetMode="External"/><Relationship Id="rId44" Type="http://schemas.openxmlformats.org/officeDocument/2006/relationships/hyperlink" Target="../manuals/core.html#shared-catalog-rules-and-scaffolding" TargetMode="External"/><Relationship Id="rId80" Type="http://schemas.openxmlformats.org/officeDocument/2006/relationships/hyperlink" Target="https://www.gnu.org/licenses/agpl-3.0.html" TargetMode="External"/><Relationship Id="rId81" Type="http://schemas.openxmlformats.org/officeDocument/2006/relationships/hyperlink" Target="https://www.gnu.org/licenses/gpl-faq.en.html" TargetMode="External"/><Relationship Id="rId51" Type="http://schemas.openxmlformats.org/officeDocument/2006/relationships/hyperlink" Target="../manuals/inspections.html#evidence-limits-outlines-and-previous-cases" TargetMode="External"/><Relationship Id="rId46" Type="http://schemas.openxmlformats.org/officeDocument/2006/relationships/hyperlink" Target="../manuals/meetings.html#transcript-corrections-and-action-items" TargetMode="External"/><Relationship Id="rId50" Type="http://schemas.openxmlformats.org/officeDocument/2006/relationships/hyperlink" Target="../manuals/permitting.html#describe-a-project-and-read-source-grounded-guidance" TargetMode="External"/><Relationship Id="rId49" Type="http://schemas.openxmlformats.org/officeDocument/2006/relationships/hyperlink" Target="../manuals/planning.html#exploration-initiatives-and-amendments" TargetMode="External"/><Relationship Id="rId45" Type="http://schemas.openxmlformats.org/officeDocument/2006/relationships/hyperlink" Target="../manuals/records.html#fees-messages-notifications-and-local-intake" TargetMode="External"/><Relationship Id="rId52" Type="http://schemas.openxmlformats.org/officeDocument/2006/relationships/hyperlink" Target="../manuals/station.html#scheduling-playout-and-recovery" TargetMode="External"/><Relationship Id="rId48" Type="http://schemas.openxmlformats.org/officeDocument/2006/relationships/hyperlink" Target="../manuals/zoning.html#discretionary-processes-and-staff-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Suite Manual</dc:title>
  <dc:creator/>
  <cp:keywords/>
  <dcterms:created xsi:type="dcterms:W3CDTF">2026-10-30T16:19:15Z</dcterms:created>
  <dcterms:modified xsi:type="dcterms:W3CDTF">2026-10-30T16:19:15Z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