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1B2A4A"/>
          <w:sz w:val="56"/>
          <w:szCs w:val="56"/>
        </w:rPr>
        <w:t xml:space="preserve">THE INTERPLANETARY NETWORK</w:t>
      </w:r>
    </w:p>
    <w:p>
      <w:pPr>
        <w:pBdr>
          <w:bottom w:val="single" w:color="2E75B6" w:sz="6" w:space="8"/>
        </w:pBdr>
        <w:spacing w:after="100"/>
        <w:jc w:val="center"/>
      </w:pPr>
      <w:r>
        <w:rPr>
          <w:rFonts w:ascii="Arial" w:cs="Arial" w:eastAsia="Arial" w:hAnsi="Arial"/>
          <w:color w:val="2E75B6"/>
          <w:sz w:val="28"/>
          <w:szCs w:val="28"/>
        </w:rPr>
        <w:t xml:space="preserve">A Deep Space Communications &amp; AI Infrastructure Proposal</w:t>
      </w:r>
    </w:p>
    <w:p>
      <w:pPr>
        <w:spacing w:before="400" w:after="0"/>
      </w:pPr>
    </w:p>
    <w:p>
      <w:pPr>
        <w:spacing w:after="80"/>
        <w:jc w:val="center"/>
      </w:pPr>
      <w:r>
        <w:rPr>
          <w:rFonts w:ascii="Arial" w:cs="Arial" w:eastAsia="Arial" w:hAnsi="Arial"/>
          <w:color w:val="666666"/>
          <w:sz w:val="24"/>
          <w:szCs w:val="24"/>
        </w:rPr>
        <w:t xml:space="preserve">Concept Proposal for SpaceX</w:t>
      </w:r>
    </w:p>
    <w:p>
      <w:pPr>
        <w:spacing w:after="80"/>
        <w:jc w:val="center"/>
      </w:pPr>
      <w:r>
        <w:rPr>
          <w:rFonts w:ascii="Arial" w:cs="Arial" w:eastAsia="Arial" w:hAnsi="Arial"/>
          <w:color w:val="666666"/>
          <w:sz w:val="22"/>
          <w:szCs w:val="22"/>
        </w:rPr>
        <w:t xml:space="preserve">February 2026</w:t>
      </w:r>
    </w:p>
    <w:p>
      <w:pPr>
        <w:spacing w:before="600" w:after="0"/>
      </w:pPr>
    </w:p>
    <w:p>
      <w:pPr>
        <w:spacing w:after="40"/>
        <w:jc w:val="center"/>
      </w:pPr>
      <w:r>
        <w:rPr>
          <w:rFonts w:ascii="Arial" w:cs="Arial" w:eastAsia="Arial" w:hAnsi="Arial"/>
          <w:i/>
          <w:iCs/>
          <w:color w:val="666666"/>
          <w:sz w:val="20"/>
          <w:szCs w:val="20"/>
        </w:rPr>
        <w:t xml:space="preserve">Prepared by</w:t>
      </w:r>
    </w:p>
    <w:p>
      <w:pPr>
        <w:jc w:val="center"/>
      </w:pPr>
      <w:r>
        <w:rPr>
          <w:rFonts w:ascii="Arial" w:cs="Arial" w:eastAsia="Arial" w:hAnsi="Arial"/>
          <w:b/>
          <w:bCs/>
          <w:color w:val="1B2A4A"/>
          <w:sz w:val="26"/>
          <w:szCs w:val="26"/>
        </w:rPr>
        <w:t xml:space="preserve">toxic2040</w:t>
      </w:r>
    </w:p>
    <w:p>
      <w:pPr>
        <w:spacing w:before="200" w:after="0"/>
      </w:pPr>
    </w:p>
    <w:p>
      <w:pPr>
        <w:jc w:val="center"/>
      </w:pPr>
      <w:r>
        <w:rPr>
          <w:rFonts w:ascii="Arial" w:cs="Arial" w:eastAsia="Arial" w:hAnsi="Arial"/>
          <w:i/>
          <w:iCs/>
          <w:color w:val="666666"/>
          <w:sz w:val="18"/>
          <w:szCs w:val="18"/>
        </w:rPr>
        <w:t xml:space="preserve">Version 0.1  |  CONFIDENTIAL</w:t>
      </w:r>
    </w:p>
    <w:p>
      <w:r>
        <w:br w:type="page"/>
      </w:r>
    </w:p>
    <w:p>
      <w:pPr>
        <w:pStyle w:val="Heading1"/>
      </w:pPr>
      <w:r>
        <w:t xml:space="preserve">Executive Summary</w:t>
      </w:r>
    </w:p>
    <w:p>
      <w:pPr>
        <w:spacing w:before="80" w:after="80" w:line="276"/>
        <w:jc w:val="both"/>
      </w:pPr>
      <w:r>
        <w:rPr>
          <w:rFonts w:ascii="Arial" w:cs="Arial" w:eastAsia="Arial" w:hAnsi="Arial"/>
          <w:sz w:val="22"/>
          <w:szCs w:val="22"/>
        </w:rPr>
        <w:t xml:space="preserve">As SpaceX advances toward establishing a permanent human presence on Mars, a critical infrastructure gap threatens mission safety and operational capability: the complete loss of communications during solar conjunctions. Every 26 months, for periods of 2 to 8 weeks, the Sun blocks all direct communication between Earth and Mars. For robotic missions, this is an inconvenience. For crewed missions and future colonies, it is an unacceptable risk.</w:t>
      </w:r>
    </w:p>
    <w:p>
      <w:pPr>
        <w:spacing w:before="80" w:after="80" w:line="276"/>
        <w:jc w:val="both"/>
      </w:pPr>
      <w:r>
        <w:rPr>
          <w:rFonts w:ascii="Arial" w:cs="Arial" w:eastAsia="Arial" w:hAnsi="Arial"/>
          <w:sz w:val="22"/>
          <w:szCs w:val="22"/>
        </w:rPr>
        <w:t xml:space="preserve">This proposal presents The Interplanetary Network (TIN) — a dual-architecture deep space communications and AI processing infrastructure designed to deliver 24/7, conjunction-proof connectivity between Earth, the Moon, and Mars. The network combines two complementary systems:</w:t>
      </w:r>
    </w:p>
    <w:p>
      <w:pPr>
        <w:spacing w:before="80" w:after="80" w:line="276"/>
        <w:jc w:val="both"/>
      </w:pPr>
      <w:r>
        <w:rPr>
          <w:rFonts w:ascii="Arial" w:cs="Arial" w:eastAsia="Arial" w:hAnsi="Arial"/>
          <w:b/>
          <w:bCs/>
          <w:sz w:val="22"/>
          <w:szCs w:val="22"/>
        </w:rPr>
        <w:t xml:space="preserve">Heliocentric Polar Relay Network: </w:t>
      </w:r>
      <w:r>
        <w:rPr>
          <w:rFonts w:ascii="Arial" w:cs="Arial" w:eastAsia="Arial" w:hAnsi="Arial"/>
          <w:sz w:val="22"/>
          <w:szCs w:val="22"/>
        </w:rPr>
        <w:t xml:space="preserve">Three satellites in high-inclination (~90°) solar orbits at ~1 AU, phased 120° apart, ensuring at least one relay always maintains line-of-sight to both planets — even when the Sun is directly between them.</w:t>
      </w:r>
    </w:p>
    <w:p>
      <w:pPr>
        <w:spacing w:before="80" w:after="80" w:line="276"/>
        <w:jc w:val="both"/>
      </w:pPr>
      <w:r>
        <w:rPr>
          <w:rFonts w:ascii="Arial" w:cs="Arial" w:eastAsia="Arial" w:hAnsi="Arial"/>
          <w:b/>
          <w:bCs/>
          <w:sz w:val="22"/>
          <w:szCs w:val="22"/>
        </w:rPr>
        <w:t xml:space="preserve">Lagrange Point AI Hubs: </w:t>
      </w:r>
      <w:r>
        <w:rPr>
          <w:rFonts w:ascii="Arial" w:cs="Arial" w:eastAsia="Arial" w:hAnsi="Arial"/>
          <w:sz w:val="22"/>
          <w:szCs w:val="22"/>
        </w:rPr>
        <w:t xml:space="preserve">Three satellites stationed at Sun-Earth L4/L5 Lagrange points, providing supplementary relay capability and serving as in-situ AI data processing centers for autonomous routing, compression, and decision support.</w:t>
      </w:r>
    </w:p>
    <w:p>
      <w:pPr>
        <w:spacing w:before="80" w:after="80" w:line="276"/>
        <w:jc w:val="both"/>
      </w:pPr>
      <w:r>
        <w:rPr>
          <w:rFonts w:ascii="Arial" w:cs="Arial" w:eastAsia="Arial" w:hAnsi="Arial"/>
          <w:sz w:val="22"/>
          <w:szCs w:val="22"/>
        </w:rPr>
        <w:t xml:space="preserve">Together, these six satellites achieve 99.9%+ communications availability with bandwidths of 1–10 Gbps (optical laser) and one-way latencies of 3–27 light-minutes. The estimated total deployment cost is $2.5–3 billion — remarkably modest given that it solves a fundamental bottleneck for interplanetary civilization.</w:t>
      </w:r>
    </w:p>
    <w:p>
      <w:pPr>
        <w:spacing w:before="80" w:after="80" w:line="276"/>
        <w:jc w:val="both"/>
      </w:pPr>
      <w:r>
        <w:rPr>
          <w:rFonts w:ascii="Arial" w:cs="Arial" w:eastAsia="Arial" w:hAnsi="Arial"/>
          <w:sz w:val="22"/>
          <w:szCs w:val="22"/>
        </w:rPr>
        <w:t xml:space="preserve">This document outlines the technical architecture, satellite specifications, deployment timeline, cost analysis, and strategic rationale for building this network now, while the technology window and SpaceX’s launch capabilities make it uniquely feasible.</w:t>
      </w:r>
    </w:p>
    <w:p>
      <w:r>
        <w:br w:type="page"/>
      </w:r>
    </w:p>
    <w:p>
      <w:pPr>
        <w:pStyle w:val="Heading1"/>
      </w:pPr>
      <w:r>
        <w:t xml:space="preserve">The Problem: Deep Space Communication Blackouts</w:t>
      </w:r>
    </w:p>
    <w:p>
      <w:pPr>
        <w:spacing w:before="80" w:after="80" w:line="276"/>
        <w:jc w:val="both"/>
      </w:pPr>
      <w:r>
        <w:rPr>
          <w:rFonts w:ascii="Arial" w:cs="Arial" w:eastAsia="Arial" w:hAnsi="Arial"/>
          <w:sz w:val="22"/>
          <w:szCs w:val="22"/>
        </w:rPr>
        <w:t xml:space="preserve">Current deep space communications rely on direct radio links between planetary assets and Earth’s Deep Space Network (DSN). This architecture has served robotic exploration well for decades, but it carries a fundamental vulnerability: solar conjunction.</w:t>
      </w:r>
    </w:p>
    <w:p>
      <w:pPr>
        <w:pStyle w:val="Heading2"/>
      </w:pPr>
      <w:r>
        <w:t xml:space="preserve">Solar Conjunction Blackouts</w:t>
      </w:r>
    </w:p>
    <w:p>
      <w:pPr>
        <w:spacing w:before="80" w:after="80" w:line="276"/>
        <w:jc w:val="both"/>
      </w:pPr>
      <w:r>
        <w:rPr>
          <w:rFonts w:ascii="Arial" w:cs="Arial" w:eastAsia="Arial" w:hAnsi="Arial"/>
          <w:sz w:val="22"/>
          <w:szCs w:val="22"/>
        </w:rPr>
        <w:t xml:space="preserve">Approximately every 26 months, Earth and Mars pass on opposite sides of the Sun. During these conjunctions, the Sun’s corona creates a 3–7° angular exclusion zone that scatters, absorbs, and corrupts radio and optical signals. The result is a complete communications blackout lasting 2 to 8 weeks, depending on orbital geometry.</w:t>
      </w:r>
    </w:p>
    <w:p>
      <w:pPr>
        <w:spacing w:before="80" w:after="80" w:line="276"/>
        <w:jc w:val="both"/>
      </w:pPr>
      <w:r>
        <w:rPr>
          <w:rFonts w:ascii="Arial" w:cs="Arial" w:eastAsia="Arial" w:hAnsi="Arial"/>
          <w:sz w:val="22"/>
          <w:szCs w:val="22"/>
        </w:rPr>
        <w:t xml:space="preserve">For current robotic missions, conjunction protocols involve pre-uploading command sequences and placing spacecraft in safe modes. The rovers simply wait. But this approach is fundamentally incompatible with three near-term realities:</w:t>
      </w:r>
    </w:p>
    <w:p>
      <w:pPr>
        <w:spacing w:before="80" w:after="80" w:line="276"/>
        <w:jc w:val="both"/>
      </w:pPr>
      <w:r>
        <w:rPr>
          <w:rFonts w:ascii="Arial" w:cs="Arial" w:eastAsia="Arial" w:hAnsi="Arial"/>
          <w:b/>
          <w:bCs/>
          <w:sz w:val="22"/>
          <w:szCs w:val="22"/>
        </w:rPr>
        <w:t xml:space="preserve">Crewed Mars Missions: </w:t>
      </w:r>
      <w:r>
        <w:rPr>
          <w:rFonts w:ascii="Arial" w:cs="Arial" w:eastAsia="Arial" w:hAnsi="Arial"/>
          <w:sz w:val="22"/>
          <w:szCs w:val="22"/>
        </w:rPr>
        <w:t xml:space="preserve">Astronauts cannot be left without emergency communications for weeks. Medical emergencies, habitat failures, or unforeseen events require real-time (or near-real-time) contact with Earth-based mission control and AI support systems.</w:t>
      </w:r>
    </w:p>
    <w:p>
      <w:pPr>
        <w:spacing w:before="80" w:after="80" w:line="276"/>
        <w:jc w:val="both"/>
      </w:pPr>
      <w:r>
        <w:rPr>
          <w:rFonts w:ascii="Arial" w:cs="Arial" w:eastAsia="Arial" w:hAnsi="Arial"/>
          <w:b/>
          <w:bCs/>
          <w:sz w:val="22"/>
          <w:szCs w:val="22"/>
        </w:rPr>
        <w:t xml:space="preserve">Mars Colony Operations: </w:t>
      </w:r>
      <w:r>
        <w:rPr>
          <w:rFonts w:ascii="Arial" w:cs="Arial" w:eastAsia="Arial" w:hAnsi="Arial"/>
          <w:sz w:val="22"/>
          <w:szCs w:val="22"/>
        </w:rPr>
        <w:t xml:space="preserve">As SpaceX’s Starship program scales toward permanent settlement, continuous data flow becomes essential for logistics coordination, resource management, scientific data return, and governance.</w:t>
      </w:r>
    </w:p>
    <w:p>
      <w:pPr>
        <w:spacing w:before="80" w:after="80" w:line="276"/>
        <w:jc w:val="both"/>
      </w:pPr>
      <w:r>
        <w:rPr>
          <w:rFonts w:ascii="Arial" w:cs="Arial" w:eastAsia="Arial" w:hAnsi="Arial"/>
          <w:b/>
          <w:bCs/>
          <w:sz w:val="22"/>
          <w:szCs w:val="22"/>
        </w:rPr>
        <w:t xml:space="preserve">Autonomous Systems: </w:t>
      </w:r>
      <w:r>
        <w:rPr>
          <w:rFonts w:ascii="Arial" w:cs="Arial" w:eastAsia="Arial" w:hAnsi="Arial"/>
          <w:sz w:val="22"/>
          <w:szCs w:val="22"/>
        </w:rPr>
        <w:t xml:space="preserve">AI-driven rovers, drones, and industrial systems on Mars will require continuous uplinks for software updates, model synchronization, and oversight — particularly in the early years when full autonomy is not yet proven.</w:t>
      </w:r>
    </w:p>
    <w:p>
      <w:pPr>
        <w:pStyle w:val="Heading2"/>
      </w:pPr>
      <w:r>
        <w:t xml:space="preserve">The Bandwidth Bottleneck</w:t>
      </w:r>
    </w:p>
    <w:p>
      <w:pPr>
        <w:spacing w:before="80" w:after="80" w:line="276"/>
        <w:jc w:val="both"/>
      </w:pPr>
      <w:r>
        <w:rPr>
          <w:rFonts w:ascii="Arial" w:cs="Arial" w:eastAsia="Arial" w:hAnsi="Arial"/>
          <w:sz w:val="22"/>
          <w:szCs w:val="22"/>
        </w:rPr>
        <w:t xml:space="preserve">Beyond conjunctions, current Mars communications are constrained to roughly 100–500 Mbps via relay orbiters like MRO, with direct-to-Earth rates far lower. As mission density increases — multiple rovers, aerial vehicles, habitats, and eventually thousands of colonists — this bandwidth ceiling becomes a critical constraint. High-definition video, scientific datasets, and real-time telemetry all compete for a thin data pipe.</w:t>
      </w:r>
    </w:p>
    <w:p>
      <w:pPr>
        <w:spacing w:before="80" w:after="80" w:line="276"/>
        <w:jc w:val="both"/>
      </w:pPr>
      <w:r>
        <w:rPr>
          <w:rFonts w:ascii="Arial" w:cs="Arial" w:eastAsia="Arial" w:hAnsi="Arial"/>
          <w:sz w:val="22"/>
          <w:szCs w:val="22"/>
        </w:rPr>
        <w:t xml:space="preserve">The Interplanetary Network addresses both problems simultaneously: eliminating blackouts and providing Gbps-class bandwidth through optical laser links.</w:t>
      </w:r>
    </w:p>
    <w:p>
      <w:r>
        <w:br w:type="page"/>
      </w:r>
    </w:p>
    <w:p>
      <w:pPr>
        <w:pStyle w:val="Heading1"/>
      </w:pPr>
      <w:r>
        <w:t xml:space="preserve">Proposed Solution: The Interplanetary Network</w:t>
      </w:r>
    </w:p>
    <w:p>
      <w:pPr>
        <w:spacing w:before="80" w:after="80" w:line="276"/>
        <w:jc w:val="both"/>
      </w:pPr>
      <w:r>
        <w:rPr>
          <w:rFonts w:ascii="Arial" w:cs="Arial" w:eastAsia="Arial" w:hAnsi="Arial"/>
          <w:sz w:val="22"/>
          <w:szCs w:val="22"/>
        </w:rPr>
        <w:t xml:space="preserve">The Interplanetary Network (TIN) employs a dual-architecture approach, combining two complementary satellite constellations to achieve continuous, high-bandwidth, conjunction-proof communications between Earth and Mars.</w:t>
      </w:r>
    </w:p>
    <w:p>
      <w:pPr>
        <w:pStyle w:val="Heading2"/>
      </w:pPr>
      <w:r>
        <w:t xml:space="preserve">Architecture 1: Heliocentric Polar Relay Network</w:t>
      </w:r>
    </w:p>
    <w:p>
      <w:pPr>
        <w:spacing w:before="80" w:after="80" w:line="276"/>
        <w:jc w:val="both"/>
      </w:pPr>
      <w:r>
        <w:rPr>
          <w:rFonts w:ascii="Arial" w:cs="Arial" w:eastAsia="Arial" w:hAnsi="Arial"/>
          <w:b/>
          <w:bCs/>
          <w:sz w:val="22"/>
          <w:szCs w:val="22"/>
        </w:rPr>
        <w:t xml:space="preserve">Configuration: </w:t>
      </w:r>
      <w:r>
        <w:rPr>
          <w:rFonts w:ascii="Arial" w:cs="Arial" w:eastAsia="Arial" w:hAnsi="Arial"/>
          <w:sz w:val="22"/>
          <w:szCs w:val="22"/>
        </w:rPr>
        <w:t xml:space="preserve">Three relay satellites in high-inclination (~90° to the ecliptic) solar orbits at approximately 1 AU radius from the Sun. The satellites are phased 120° apart in their orbital plane, forming an equilateral triangle when projected.</w:t>
      </w:r>
    </w:p>
    <w:p>
      <w:pPr>
        <w:spacing w:before="80" w:after="80" w:line="276"/>
        <w:jc w:val="both"/>
      </w:pPr>
      <w:r>
        <w:rPr>
          <w:rFonts w:ascii="Arial" w:cs="Arial" w:eastAsia="Arial" w:hAnsi="Arial"/>
          <w:b/>
          <w:bCs/>
          <w:sz w:val="22"/>
          <w:szCs w:val="22"/>
        </w:rPr>
        <w:t xml:space="preserve">Why Polar Orbits? </w:t>
      </w:r>
      <w:r>
        <w:rPr>
          <w:rFonts w:ascii="Arial" w:cs="Arial" w:eastAsia="Arial" w:hAnsi="Arial"/>
          <w:sz w:val="22"/>
          <w:szCs w:val="22"/>
        </w:rPr>
        <w:t xml:space="preserve">By orbiting over the Sun’s poles rather than in the ecliptic plane, these relays maintain line-of-sight to both Earth and Mars even during conjunctions, when both planets are on opposite sides of the Sun. The signal routes up and over the exclusion zone rather than trying to pass through it.</w:t>
      </w:r>
    </w:p>
    <w:p>
      <w:pPr>
        <w:spacing w:before="80" w:after="80" w:line="276"/>
        <w:jc w:val="both"/>
      </w:pPr>
      <w:r>
        <w:rPr>
          <w:rFonts w:ascii="Arial" w:cs="Arial" w:eastAsia="Arial" w:hAnsi="Arial"/>
          <w:b/>
          <w:bCs/>
          <w:sz w:val="22"/>
          <w:szCs w:val="22"/>
        </w:rPr>
        <w:t xml:space="preserve">Why Three? </w:t>
      </w:r>
      <w:r>
        <w:rPr>
          <w:rFonts w:ascii="Arial" w:cs="Arial" w:eastAsia="Arial" w:hAnsi="Arial"/>
          <w:sz w:val="22"/>
          <w:szCs w:val="22"/>
        </w:rPr>
        <w:t xml:space="preserve">One or two relays (e.g., at L4/L5 only) risk coverage gaps as planetary positions shift. Three guarantees overlap, handles orbital perturbations, and enables parallel links for increased aggregate bandwidth. Availability reaches 99.9%+.</w:t>
      </w:r>
    </w:p>
    <w:p>
      <w:pPr>
        <w:pStyle w:val="Heading2"/>
      </w:pPr>
      <w:r>
        <w:t xml:space="preserve">Architecture 2: Lagrange Point AI Hubs</w:t>
      </w:r>
    </w:p>
    <w:p>
      <w:pPr>
        <w:spacing w:before="80" w:after="80" w:line="276"/>
        <w:jc w:val="both"/>
      </w:pPr>
      <w:r>
        <w:rPr>
          <w:rFonts w:ascii="Arial" w:cs="Arial" w:eastAsia="Arial" w:hAnsi="Arial"/>
          <w:b/>
          <w:bCs/>
          <w:sz w:val="22"/>
          <w:szCs w:val="22"/>
        </w:rPr>
        <w:t xml:space="preserve">Configuration: </w:t>
      </w:r>
      <w:r>
        <w:rPr>
          <w:rFonts w:ascii="Arial" w:cs="Arial" w:eastAsia="Arial" w:hAnsi="Arial"/>
          <w:sz w:val="22"/>
          <w:szCs w:val="22"/>
        </w:rPr>
        <w:t xml:space="preserve">Two to three satellites stationed at Sun-Earth L4 and L5 Lagrange points (60° ahead of and behind Earth in its orbit). These gravitationally stable “parking spots” require minimal station-keeping (~10–50 m/s per year).</w:t>
      </w:r>
    </w:p>
    <w:p>
      <w:pPr>
        <w:spacing w:before="80" w:after="80" w:line="276"/>
        <w:jc w:val="both"/>
      </w:pPr>
      <w:r>
        <w:rPr>
          <w:rFonts w:ascii="Arial" w:cs="Arial" w:eastAsia="Arial" w:hAnsi="Arial"/>
          <w:b/>
          <w:bCs/>
          <w:sz w:val="22"/>
          <w:szCs w:val="22"/>
        </w:rPr>
        <w:t xml:space="preserve">Relay Function: </w:t>
      </w:r>
      <w:r>
        <w:rPr>
          <w:rFonts w:ascii="Arial" w:cs="Arial" w:eastAsia="Arial" w:hAnsi="Arial"/>
          <w:sz w:val="22"/>
          <w:szCs w:val="22"/>
        </w:rPr>
        <w:t xml:space="preserve">L4/L5 positions maintain near-perpetual line-of-sight to Earth (~58–60° angular separation from the Sun) and maintain workable geometry to Mars for the vast majority of the synodic cycle. Combined with the polar network, overall system availability exceeds 99.9%.</w:t>
      </w:r>
    </w:p>
    <w:p>
      <w:pPr>
        <w:spacing w:before="80" w:after="80" w:line="276"/>
        <w:jc w:val="both"/>
      </w:pPr>
      <w:r>
        <w:rPr>
          <w:rFonts w:ascii="Arial" w:cs="Arial" w:eastAsia="Arial" w:hAnsi="Arial"/>
          <w:b/>
          <w:bCs/>
          <w:sz w:val="22"/>
          <w:szCs w:val="22"/>
        </w:rPr>
        <w:t xml:space="preserve">AI Processing Function: </w:t>
      </w:r>
      <w:r>
        <w:rPr>
          <w:rFonts w:ascii="Arial" w:cs="Arial" w:eastAsia="Arial" w:hAnsi="Arial"/>
          <w:sz w:val="22"/>
          <w:szCs w:val="22"/>
        </w:rPr>
        <w:t xml:space="preserve">The L-point hubs are not merely relay stations. Equipped with radiation-hardened GPU/TPU compute clusters, they serve as autonomous AI processing nodes capable of: signal routing and adaptive path selection across the network; real-time data compression and prioritization; anomaly detection and autonomous fault response; pre-processing of scientific data in transit, reducing the effective bandwidth requirement; and autonomous decision support during communication-limited periods.</w:t>
      </w:r>
    </w:p>
    <w:p>
      <w:pPr>
        <w:pStyle w:val="Heading2"/>
      </w:pPr>
      <w:r>
        <w:t xml:space="preserve">Combined Network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Total Satellites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6 (3 polar + 3 L-point)</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Communications Availability</w:t>
            </w:r>
          </w:p>
        </w:tc>
        <w:tc>
          <w:tcPr>
            <w:tcW w:type="dxa" w:w="5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99.9%+ (conjunction-proof)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Optical Bandwidth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1–10 Gbps per link (scalable to Tbps with arrays)</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Radio Backup Bandwidth</w:t>
            </w:r>
          </w:p>
        </w:tc>
        <w:tc>
          <w:tcPr>
            <w:tcW w:type="dxa" w:w="5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100–500 Mbps (Ka/X-band)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Minimum Latency (one-way)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 light-minutes (closest approach, direct)</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Maximum Latency (one-way)</w:t>
            </w:r>
          </w:p>
        </w:tc>
        <w:tc>
          <w:tcPr>
            <w:tcW w:type="dxa" w:w="5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~27 light-minutes (conjunction, via relay)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Design Life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10+ years (with software upgrades)</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Coverage</w:t>
            </w:r>
          </w:p>
        </w:tc>
        <w:tc>
          <w:tcPr>
            <w:tcW w:type="dxa" w:w="5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Earth, Moon, Mars (expandable to outer planets)</w:t>
            </w:r>
          </w:p>
        </w:tc>
      </w:tr>
    </w:tbl>
    <w:p>
      <w:pPr>
        <w:spacing w:before="200" w:after="0"/>
      </w:pPr>
    </w:p>
    <w:p>
      <w:r>
        <w:br w:type="page"/>
      </w:r>
    </w:p>
    <w:p>
      <w:pPr>
        <w:pStyle w:val="Heading1"/>
      </w:pPr>
      <w:r>
        <w:t xml:space="preserve">Technical Specifications</w:t>
      </w:r>
    </w:p>
    <w:p>
      <w:pPr>
        <w:pStyle w:val="Heading2"/>
      </w:pPr>
      <w:r>
        <w:t xml:space="preserve">Satellite Bus Design</w:t>
      </w:r>
    </w:p>
    <w:p>
      <w:pPr>
        <w:spacing w:before="80" w:after="80" w:line="276"/>
        <w:jc w:val="both"/>
      </w:pPr>
      <w:r>
        <w:rPr>
          <w:rFonts w:ascii="Arial" w:cs="Arial" w:eastAsia="Arial" w:hAnsi="Arial"/>
          <w:sz w:val="22"/>
          <w:szCs w:val="22"/>
        </w:rPr>
        <w:t xml:space="preserve">Each relay satellite is designed as a modular, upgradeable platform based on proven interplanetary heritage (drawing from NASA MRO, ESA SOHO, and CNSA Queqiao architectures), scaled up for planetary-class communications and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Subsystem</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Dry Mass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1,500–2,000 kg (including 20–30% margin)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Propellant Mass</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200–500 kg (hydrazine/ion fuel, 10-year life)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Total Launch Mass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1,700–2,500 kg per satellite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Power (Average)</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2–3 kW (solar arrays, 20–30 m² BSR cells @ 29% eff.)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Power (Peak)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3–5 kW during high-bandwidth bursts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Batteries</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60–100 Ah Li-ion for eclipses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Dimensions (Stowed)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2–3 m core bus (fits Starship 9 m fairing)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Dimensions (Deployed)</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10–15 m span (arrays + antennas)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Propulsion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Ion thrusters (0.1–0.5 N, Isp 3,000 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Attitude Control</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Reaction wheels + star trackers (0.04° pointing)</w:t>
            </w:r>
          </w:p>
        </w:tc>
      </w:tr>
    </w:tbl>
    <w:p>
      <w:pPr>
        <w:spacing w:before="200" w:after="0"/>
      </w:pPr>
    </w:p>
    <w:p>
      <w:pPr>
        <w:pStyle w:val="Heading2"/>
      </w:pPr>
      <w:r>
        <w:t xml:space="preserve">Communications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Radio (Ka/X-band)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Optical Laser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Antenna/Aperture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4–5 m deployable mesh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10–50 cm telescope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Transmitter Power</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100–500 W (TWTA amps)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10–50 W 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Bandwidth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1–100 Mbps (emergency), up to 500 Mbps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1–10 Gbps (scalable to Tbps)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Mass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200–400 kg</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50–100 kg additional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Power Draw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100–500 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200–600 W</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Redundancy</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Dual antennas (Earth + Mars facing)</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SDR adaptive freq (2–60 GHz backup)</w:t>
            </w:r>
          </w:p>
        </w:tc>
      </w:tr>
    </w:tbl>
    <w:p>
      <w:pPr>
        <w:spacing w:before="200" w:after="0"/>
      </w:pPr>
    </w:p>
    <w:p>
      <w:pPr>
        <w:pStyle w:val="Heading2"/>
      </w:pPr>
      <w:r>
        <w:t xml:space="preserve">AI Processing Hub (L-Point Satellites)</w:t>
      </w:r>
    </w:p>
    <w:p>
      <w:pPr>
        <w:spacing w:before="80" w:after="80" w:line="276"/>
        <w:jc w:val="both"/>
      </w:pPr>
      <w:r>
        <w:rPr>
          <w:rFonts w:ascii="Arial" w:cs="Arial" w:eastAsia="Arial" w:hAnsi="Arial"/>
          <w:sz w:val="22"/>
          <w:szCs w:val="22"/>
        </w:rPr>
        <w:t xml:space="preserve">Each Lagrange point hub includes a dedicated AI compute module for in-situ data processing and autonomous network management. The AI subsystem adds approximately 200–500 kg and 500 W to each L-point satellite, at an estimated development cost of $50–100M per unit. Capabilities include: autonomous signal routing and adaptive path selection based on real-time orbital geometry; data compression, deduplication, and priority queuing; anomaly detection across the network for predictive maintenance; and autonomous decision support for Mars-based systems during high-latency windows.</w:t>
      </w:r>
    </w:p>
    <w:p>
      <w:pPr>
        <w:pStyle w:val="Heading2"/>
      </w:pPr>
      <w:r>
        <w:t xml:space="preserve">Latency Analysis</w:t>
      </w:r>
    </w:p>
    <w:p>
      <w:pPr>
        <w:spacing w:before="80" w:after="80" w:line="276"/>
        <w:jc w:val="both"/>
      </w:pPr>
      <w:r>
        <w:rPr>
          <w:rFonts w:ascii="Arial" w:cs="Arial" w:eastAsia="Arial" w:hAnsi="Arial"/>
          <w:sz w:val="22"/>
          <w:szCs w:val="22"/>
        </w:rPr>
        <w:t xml:space="preserve">All latencies are governed by the speed of light (no shortcuts). Direct paths are used when available; relay paths are invoked during conjunctions or when geometry favors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Distance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 (1-way)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Closest Approach (direct)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0.37 AU (55M km)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~3.05 minutes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No relay needed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Farthest (unblocked)</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2.52 AU</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~21 minutes</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Direct link still viable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Conjunction (via relay)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~3.2 AU total 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~27 minutes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Earth → relay → Mars</w:t>
            </w:r>
          </w:p>
        </w:tc>
      </w:tr>
    </w:tbl>
    <w:p>
      <w:pPr>
        <w:spacing w:before="100" w:after="0"/>
      </w:pPr>
    </w:p>
    <w:p>
      <w:pPr>
        <w:spacing w:before="80" w:after="80" w:line="276"/>
        <w:jc w:val="both"/>
      </w:pPr>
      <w:r>
        <w:rPr>
          <w:rFonts w:ascii="Arial" w:cs="Arial" w:eastAsia="Arial" w:hAnsi="Arial"/>
          <w:i/>
          <w:iCs/>
          <w:sz w:val="22"/>
          <w:szCs w:val="22"/>
        </w:rPr>
        <w:t xml:space="preserve">The key insight: even the worst-case relay path (27 minutes) is only 6 minutes longer than the worst-case direct path (21 minutes). The network trades a minor latency increase for the elimination of multi-week blackouts — an asymmetrically favorable tradeoff for crewed missions.</w:t>
      </w:r>
    </w:p>
    <w:p>
      <w:r>
        <w:br w:type="page"/>
      </w:r>
    </w:p>
    <w:p>
      <w:pPr>
        <w:pStyle w:val="Heading1"/>
      </w:pPr>
      <w:r>
        <w:t xml:space="preserve">Orbital Mechanics &amp; Deployment</w:t>
      </w:r>
    </w:p>
    <w:p>
      <w:pPr>
        <w:pStyle w:val="Heading2"/>
      </w:pPr>
      <w:r>
        <w:t xml:space="preserve">Delta-V Budget</w:t>
      </w:r>
    </w:p>
    <w:p>
      <w:pPr>
        <w:spacing w:before="80" w:after="80" w:line="276"/>
        <w:jc w:val="both"/>
      </w:pPr>
      <w:r>
        <w:rPr>
          <w:rFonts w:ascii="Arial" w:cs="Arial" w:eastAsia="Arial" w:hAnsi="Arial"/>
          <w:sz w:val="22"/>
          <w:szCs w:val="22"/>
        </w:rPr>
        <w:t xml:space="preserve">Placing satellites in high-inclination heliocentric orbits is the primary astrodynamic challenge. A direct 90° plane change at 1 AU would require ~42 km/s — clearly impractical. Instead, the mission design leverages gravity assists to dramatically reduce propulsive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Maneuver</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 (Δv)</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 Gravity Assist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LEO to Escape (C3=0)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~3.2 km/s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~3.2 km/s</w:t>
            </w:r>
          </w:p>
        </w:tc>
      </w:tr>
      <w:tr>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Plane Change to ~90°</w:t>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~5–7 km/s (at optimal radius)</w:t>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~0 km/s (Jupiter GA, like Ulysses)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Halo Orbit Insertion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~0.1–0.5 km/s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~0.1–0.5 km/s</w:t>
            </w:r>
          </w:p>
        </w:tc>
      </w:tr>
      <w:tr>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Total per Satellite</w:t>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~8.5–10.5 km/s</w:t>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~6–7 km/s (VEEGA path)</w:t>
            </w:r>
          </w:p>
        </w:tc>
      </w:tr>
    </w:tbl>
    <w:p>
      <w:pPr>
        <w:spacing w:before="100" w:after="0"/>
      </w:pPr>
    </w:p>
    <w:p>
      <w:pPr>
        <w:spacing w:before="80" w:after="80" w:line="276"/>
        <w:jc w:val="both"/>
      </w:pPr>
      <w:r>
        <w:rPr>
          <w:rFonts w:ascii="Arial" w:cs="Arial" w:eastAsia="Arial" w:hAnsi="Arial"/>
          <w:sz w:val="22"/>
          <w:szCs w:val="22"/>
        </w:rPr>
        <w:t xml:space="preserve">The preferred trajectory uses a Venus-Earth-Earth Gravity Assist (VEEGA) sequence, similar to the Ulysses solar polar mission, which achieved an 80°+ inclination change using a Jupiter flyby with minimal propellant expenditure. L-point satellites require significantly less delta-v (~3.5–4 km/s from LEO) via direct transfer to Sun-Earth L4/L5.</w:t>
      </w:r>
    </w:p>
    <w:p>
      <w:pPr>
        <w:pStyle w:val="Heading2"/>
      </w:pPr>
      <w:r>
        <w:t xml:space="preserve">Launch Vehicle Analysis</w:t>
      </w:r>
    </w:p>
    <w:p>
      <w:pPr>
        <w:spacing w:before="80" w:after="80" w:line="276"/>
        <w:jc w:val="both"/>
      </w:pPr>
      <w:r>
        <w:rPr>
          <w:rFonts w:ascii="Arial" w:cs="Arial" w:eastAsia="Arial" w:hAnsi="Arial"/>
          <w:sz w:val="22"/>
          <w:szCs w:val="22"/>
        </w:rPr>
        <w:t xml:space="preserve">Two SpaceX launch vehicles are evaluated for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Starship (Preferred)</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Falcon Heavy (Alternative)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Payload to Escape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50–100+ t (with orbital refueling)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16–20 t (expendable)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Sats per Launch</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3–4 (cluster deploy)</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Total Launches Needed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3–4</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Cost per Launch</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~$100–200M (incl. refueling)</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~$150–300M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Total Launch 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$250–450M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$500–800M</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Key Advantage</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Volume, cost, cluster deploy</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Proven, no refueling needed</w:t>
            </w:r>
          </w:p>
        </w:tc>
      </w:tr>
    </w:tbl>
    <w:p>
      <w:pPr>
        <w:spacing w:before="100" w:after="0"/>
      </w:pPr>
    </w:p>
    <w:p>
      <w:pPr>
        <w:spacing w:before="80" w:after="80" w:line="276"/>
        <w:jc w:val="both"/>
      </w:pPr>
      <w:r>
        <w:rPr>
          <w:rFonts w:ascii="Arial" w:cs="Arial" w:eastAsia="Arial" w:hAnsi="Arial"/>
          <w:sz w:val="22"/>
          <w:szCs w:val="22"/>
        </w:rPr>
        <w:t xml:space="preserve">Starship is the preferred launch vehicle, offering roughly 50–80% cost savings on the deployment phase and enabling cluster deployment of multiple satellites per mission. However, the network is designed to be vehicle-agnostic, and Falcon Heavy provides a proven fallback if Starship’s interplanetary refueling cadence is not yet mature at time of deployment.</w:t>
      </w:r>
    </w:p>
    <w:p>
      <w:r>
        <w:br w:type="page"/>
      </w:r>
    </w:p>
    <w:p>
      <w:pPr>
        <w:pStyle w:val="Heading1"/>
      </w:pPr>
      <w:r>
        <w:t xml:space="preserve">Deployment Timeline</w:t>
      </w:r>
    </w:p>
    <w:p>
      <w:pPr>
        <w:spacing w:before="80" w:after="80" w:line="276"/>
        <w:jc w:val="both"/>
      </w:pPr>
      <w:r>
        <w:rPr>
          <w:rFonts w:ascii="Arial" w:cs="Arial" w:eastAsia="Arial" w:hAnsi="Arial"/>
          <w:sz w:val="22"/>
          <w:szCs w:val="22"/>
        </w:rPr>
        <w:t xml:space="preserve">Assuming a program green light in mid-2026, the network can achieve initial operational capability by 2031 and full operational capability by 2032. This 5–6 year timeline leverages private-sector agility and Starship’s existing development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6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Allocation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Concept &amp; Design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6–12 months (Q3 2026 – Q2 2027)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Requirements lock-in (orbits, lasers, AI routing); partner selection (xAI, NASA/ESA input); trajectory simulations via GMAT/STK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5–10% ($125–300M)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Development &amp; Prototyping</w:t>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2–3 years (2027–2029)</w:t>
            </w:r>
          </w:p>
        </w:tc>
        <w:tc>
          <w:tcPr>
            <w:tcW w:type="dxa" w:w="36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Build/test prototypes; qualify ion thrusters, rad-hardened compute; AI development for autonomous operations</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50–60% ($1.25–1.8B)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Manufacturing &amp; Integration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1–2 years (2028–2030)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Assemble 6+ satellites (with spares); factory testing; payload integration (laser telescopes, solar arrays)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20–25% ($500–750M)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Launch &amp; Deployment</w:t>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6–12 months (2030–2031)</w:t>
            </w:r>
          </w:p>
        </w:tc>
        <w:tc>
          <w:tcPr>
            <w:tcW w:type="dxa" w:w="36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2–3 Starship launches; cluster deploy with gravity assists (Venus for polars), direct inserts (L-points); in-orbit commissioning</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10–15% ($250–450M)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Operations Ramp-Up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Ongoing (2030+)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Full 24/7 testing with Mars assets; software upgrades; 10-year prime mission life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10–15% ($250–450M)</w:t>
            </w:r>
          </w:p>
        </w:tc>
      </w:tr>
    </w:tbl>
    <w:p>
      <w:pPr>
        <w:spacing w:before="100" w:after="0"/>
      </w:pPr>
    </w:p>
    <w:p>
      <w:pPr>
        <w:spacing w:before="80" w:after="80" w:line="276"/>
        <w:jc w:val="both"/>
      </w:pPr>
      <w:r>
        <w:rPr>
          <w:rFonts w:ascii="Arial" w:cs="Arial" w:eastAsia="Arial" w:hAnsi="Arial"/>
          <w:sz w:val="22"/>
          <w:szCs w:val="22"/>
        </w:rPr>
        <w:t xml:space="preserve">First relay satellite online by 2031. Full 6-satellite network operational by 2032. If xAI or other strategic partners co-invest, the timeline could compress by 1–2 years.</w:t>
      </w:r>
    </w:p>
    <w:p>
      <w:r>
        <w:br w:type="page"/>
      </w:r>
    </w:p>
    <w:p>
      <w:pPr>
        <w:pStyle w:val="Heading1"/>
      </w:pPr>
      <w:r>
        <w:t xml:space="preserve">Cost Analysis</w:t>
      </w:r>
    </w:p>
    <w:p>
      <w:pPr>
        <w:spacing w:before="80" w:after="80" w:line="276"/>
        <w:jc w:val="both"/>
      </w:pPr>
      <w:r>
        <w:rPr>
          <w:rFonts w:ascii="Arial" w:cs="Arial" w:eastAsia="Arial" w:hAnsi="Arial"/>
          <w:sz w:val="22"/>
          <w:szCs w:val="22"/>
        </w:rPr>
        <w:t xml:space="preserve">All costs are estimated in FY2026 USD, benchmarked against analogous missions (NASA MRO, ACE, SOHO, Queqiao, LCRD) and adjusted for SpaceX-style manufacturing efficiencies and Starship launch economics.</w:t>
      </w:r>
    </w:p>
    <w:p>
      <w:pPr>
        <w:pStyle w:val="Heading2"/>
      </w:pPr>
      <w:r>
        <w:t xml:space="preserve">Cost Breakdown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Polar Network (3–4 Sats)</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L-Point Hubs (2–3 Sats)</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Combined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Development &amp; Manufacturing</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$900M – $1.2B</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$600M – $900M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$1.5B – $2.1B</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Launch &amp; Deployment</w:t>
            </w:r>
          </w:p>
        </w:tc>
        <w:tc>
          <w:tcPr>
            <w:tcW w:type="dxa" w:w="23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$200M – $300M</w:t>
            </w:r>
          </w:p>
        </w:tc>
        <w:tc>
          <w:tcPr>
            <w:tcW w:type="dxa" w:w="23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$150M – $250M</w:t>
            </w:r>
          </w:p>
        </w:tc>
        <w:tc>
          <w:tcPr>
            <w:tcW w:type="dxa" w:w="23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$350M – $550M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Operations (5 yr prime)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$150M – $250M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$100M – $200M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$250M – $450M</w:t>
            </w:r>
          </w:p>
        </w:tc>
      </w:tr>
    </w:tbl>
    <w:p>
      <w:pPr>
        <w:spacing w:before="200" w:after="0"/>
      </w:pPr>
    </w:p>
    <w:p>
      <w:pPr>
        <w:pStyle w:val="Heading2"/>
      </w:pPr>
      <w:r>
        <w:t xml:space="preserve">Total Program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Cost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Assumptions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Optimistic (SpaceX efficiencies)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~$2.1 Billion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Minimal spares, no overruns, Starship mature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Realistic Mid-Range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~$2.5 – $3.0 Billion</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40" w:after="40"/>
            </w:pPr>
            <w:r>
              <w:rPr>
                <w:rFonts w:ascii="Arial" w:cs="Arial" w:eastAsia="Arial" w:hAnsi="Arial"/>
                <w:sz w:val="19"/>
                <w:szCs w:val="19"/>
              </w:rPr>
              <w:t xml:space="preserve">20% contingency, full redundancy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Pessimistic (cost overruns)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~$3.5 – $4.0 Billion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Delays, extended testing, NASA-style overruns</w:t>
            </w:r>
          </w:p>
        </w:tc>
      </w:tr>
    </w:tbl>
    <w:p>
      <w:pPr>
        <w:spacing w:before="100" w:after="0"/>
      </w:pPr>
    </w:p>
    <w:p>
      <w:pPr>
        <w:spacing w:before="80" w:after="80" w:line="276"/>
        <w:jc w:val="both"/>
      </w:pPr>
      <w:r>
        <w:rPr>
          <w:rFonts w:ascii="Arial" w:cs="Arial" w:eastAsia="Arial" w:hAnsi="Arial"/>
          <w:sz w:val="22"/>
          <w:szCs w:val="22"/>
        </w:rPr>
        <w:t xml:space="preserve">For context, this investment is comparable to a single flagship NASA science mission (e.g., James Webb Space Telescope at ~$10B, Mars Science Laboratory at ~$2.5B) — yet it provides permanent infrastructure serving all future Mars missions. If xAI co-funds the AI hub development, an additional $300–500M could be offset.</w:t>
      </w:r>
    </w:p>
    <w:p>
      <w:r>
        <w:br w:type="page"/>
      </w:r>
    </w:p>
    <w:p>
      <w:pPr>
        <w:pStyle w:val="Heading1"/>
      </w:pPr>
      <w:r>
        <w:t xml:space="preserve">Strategic Rationale: Why Now</w:t>
      </w:r>
    </w:p>
    <w:p>
      <w:pPr>
        <w:spacing w:before="80" w:after="80" w:line="276"/>
        <w:jc w:val="both"/>
      </w:pPr>
      <w:r>
        <w:rPr>
          <w:rFonts w:ascii="Arial" w:cs="Arial" w:eastAsia="Arial" w:hAnsi="Arial"/>
          <w:sz w:val="22"/>
          <w:szCs w:val="22"/>
        </w:rPr>
        <w:t xml:space="preserve">The Interplanetary Network has not been built before — not because it is infeasible, but because the conditions were not right. Three converging factors make 2026 the inflection point:</w:t>
      </w:r>
    </w:p>
    <w:p>
      <w:pPr>
        <w:pStyle w:val="Heading2"/>
      </w:pPr>
      <w:r>
        <w:t xml:space="preserve">1. Launch Cost Revolution</w:t>
      </w:r>
    </w:p>
    <w:p>
      <w:pPr>
        <w:spacing w:before="80" w:after="80" w:line="276"/>
        <w:jc w:val="both"/>
      </w:pPr>
      <w:r>
        <w:rPr>
          <w:rFonts w:ascii="Arial" w:cs="Arial" w:eastAsia="Arial" w:hAnsi="Arial"/>
          <w:sz w:val="22"/>
          <w:szCs w:val="22"/>
        </w:rPr>
        <w:t xml:space="preserve">Prior to reusable rocketry, deploying six interplanetary satellites would have cost $10B+ in launch fees alone. Starship’s fully reusable architecture reduces deployment costs by 50–80% compared to expendable vehicles, bringing the entire program within the budget of a single large space mission.</w:t>
      </w:r>
    </w:p>
    <w:p>
      <w:pPr>
        <w:pStyle w:val="Heading2"/>
      </w:pPr>
      <w:r>
        <w:t xml:space="preserve">2. Technology Maturity</w:t>
      </w:r>
    </w:p>
    <w:p>
      <w:pPr>
        <w:spacing w:before="80" w:after="80" w:line="276"/>
        <w:jc w:val="both"/>
      </w:pPr>
      <w:r>
        <w:rPr>
          <w:rFonts w:ascii="Arial" w:cs="Arial" w:eastAsia="Arial" w:hAnsi="Arial"/>
          <w:sz w:val="22"/>
          <w:szCs w:val="22"/>
        </w:rPr>
        <w:t xml:space="preserve">Three critical technologies have matured simultaneously in the 2020s: deep space optical laser communications (demonstrated by NASA’s LCRD at 1.2 Gbps in 2023), radiation-hardened AI processors suitable for autonomous space operations, and Delay/Disruption Tolerant Networking (DTN) protocols designed for interplanetary latencies. Five years ago, none of these were flight-proven. Today, they are ready for operational deployment.</w:t>
      </w:r>
    </w:p>
    <w:p>
      <w:pPr>
        <w:pStyle w:val="Heading2"/>
      </w:pPr>
      <w:r>
        <w:t xml:space="preserve">3. The Mars Timeline</w:t>
      </w:r>
    </w:p>
    <w:p>
      <w:pPr>
        <w:spacing w:before="80" w:after="80" w:line="276"/>
        <w:jc w:val="both"/>
      </w:pPr>
      <w:r>
        <w:rPr>
          <w:rFonts w:ascii="Arial" w:cs="Arial" w:eastAsia="Arial" w:hAnsi="Arial"/>
          <w:sz w:val="22"/>
          <w:szCs w:val="22"/>
        </w:rPr>
        <w:t xml:space="preserve">SpaceX’s Starship program is actively targeting Mars cargo and crewed missions within the next decade. Communications infrastructure must precede human arrival — not follow it. The 4–6 year development timeline for TIN aligns precisely with the anticipated cadence of Starship Mars missions, ensuring the network is operational before the first crew lands.</w:t>
      </w:r>
    </w:p>
    <w:p>
      <w:pPr>
        <w:pStyle w:val="Heading2"/>
      </w:pPr>
      <w:r>
        <w:t xml:space="preserve">4. No Existing Solution</w:t>
      </w:r>
    </w:p>
    <w:p>
      <w:pPr>
        <w:spacing w:before="80" w:after="80" w:line="276"/>
        <w:jc w:val="both"/>
      </w:pPr>
      <w:r>
        <w:rPr>
          <w:rFonts w:ascii="Arial" w:cs="Arial" w:eastAsia="Arial" w:hAnsi="Arial"/>
          <w:sz w:val="22"/>
          <w:szCs w:val="22"/>
        </w:rPr>
        <w:t xml:space="preserve">Despite decades of discussion in the aerospace community, no dedicated interplanetary relay network exists. Current Mars communications rely on science orbiters (MRO, MAVEN, Odyssey) performing relay duties as a secondary function. These aging assets were not designed for this role, offer limited bandwidth, and provide zero conjunction coverage. The window is open for a purpose-built commercial infrastructure play.</w:t>
      </w:r>
    </w:p>
    <w:p>
      <w:r>
        <w:br w:type="page"/>
      </w:r>
    </w:p>
    <w:p>
      <w:pPr>
        <w:pStyle w:val="Heading1"/>
      </w:pPr>
      <w:r>
        <w:t xml:space="preserve">Scalability &amp; Future Expansion</w:t>
      </w:r>
    </w:p>
    <w:p>
      <w:pPr>
        <w:spacing w:before="80" w:after="80" w:line="276"/>
        <w:jc w:val="both"/>
      </w:pPr>
      <w:r>
        <w:rPr>
          <w:rFonts w:ascii="Arial" w:cs="Arial" w:eastAsia="Arial" w:hAnsi="Arial"/>
          <w:sz w:val="22"/>
          <w:szCs w:val="22"/>
        </w:rPr>
        <w:t xml:space="preserve">The Interplanetary Network is designed as Phase 1 of an expandable solar system communications backbone. The Earth-Moon-Mars architecture establishes the core infrastructure, but the same principles scale outward:</w:t>
      </w:r>
    </w:p>
    <w:p>
      <w:pPr>
        <w:spacing w:before="80" w:after="80" w:line="276"/>
        <w:jc w:val="both"/>
      </w:pPr>
      <w:r>
        <w:rPr>
          <w:rFonts w:ascii="Arial" w:cs="Arial" w:eastAsia="Arial" w:hAnsi="Arial"/>
          <w:b/>
          <w:bCs/>
          <w:sz w:val="22"/>
          <w:szCs w:val="22"/>
        </w:rPr>
        <w:t xml:space="preserve">Lunar Integration: </w:t>
      </w:r>
      <w:r>
        <w:rPr>
          <w:rFonts w:ascii="Arial" w:cs="Arial" w:eastAsia="Arial" w:hAnsi="Arial"/>
          <w:sz w:val="22"/>
          <w:szCs w:val="22"/>
        </w:rPr>
        <w:t xml:space="preserve">A polar lunar relay satellite provides surface-to-Earth hops for far-side operations, with latency of only 1–2 seconds. This can be deployed as an early pathfinder mission.</w:t>
      </w:r>
    </w:p>
    <w:p>
      <w:pPr>
        <w:spacing w:before="80" w:after="80" w:line="276"/>
        <w:jc w:val="both"/>
      </w:pPr>
      <w:r>
        <w:rPr>
          <w:rFonts w:ascii="Arial" w:cs="Arial" w:eastAsia="Arial" w:hAnsi="Arial"/>
          <w:b/>
          <w:bCs/>
          <w:sz w:val="22"/>
          <w:szCs w:val="22"/>
        </w:rPr>
        <w:t xml:space="preserve">Outer Planet Extension: </w:t>
      </w:r>
      <w:r>
        <w:rPr>
          <w:rFonts w:ascii="Arial" w:cs="Arial" w:eastAsia="Arial" w:hAnsi="Arial"/>
          <w:sz w:val="22"/>
          <w:szCs w:val="22"/>
        </w:rPr>
        <w:t xml:space="preserve">Additional relay nodes at Sun-Mars L4/L5 and heliocentric positions at greater radii extend coverage to Jupiter and Saturn missions, with RTG power replacing solar arrays beyond ~3 AU.</w:t>
      </w:r>
    </w:p>
    <w:p>
      <w:pPr>
        <w:spacing w:before="80" w:after="80" w:line="276"/>
        <w:jc w:val="both"/>
      </w:pPr>
      <w:r>
        <w:rPr>
          <w:rFonts w:ascii="Arial" w:cs="Arial" w:eastAsia="Arial" w:hAnsi="Arial"/>
          <w:b/>
          <w:bCs/>
          <w:sz w:val="22"/>
          <w:szCs w:val="22"/>
        </w:rPr>
        <w:t xml:space="preserve">Bandwidth Scaling: </w:t>
      </w:r>
      <w:r>
        <w:rPr>
          <w:rFonts w:ascii="Arial" w:cs="Arial" w:eastAsia="Arial" w:hAnsi="Arial"/>
          <w:sz w:val="22"/>
          <w:szCs w:val="22"/>
        </w:rPr>
        <w:t xml:space="preserve">The modular satellite design allows laser array upgrades for Tbps-class bandwidth as interplanetary traffic grows with colony expansion.</w:t>
      </w:r>
    </w:p>
    <w:p>
      <w:pPr>
        <w:spacing w:before="80" w:after="80" w:line="276"/>
        <w:jc w:val="both"/>
      </w:pPr>
      <w:r>
        <w:rPr>
          <w:rFonts w:ascii="Arial" w:cs="Arial" w:eastAsia="Arial" w:hAnsi="Arial"/>
          <w:b/>
          <w:bCs/>
          <w:sz w:val="22"/>
          <w:szCs w:val="22"/>
        </w:rPr>
        <w:t xml:space="preserve">Commercial Potential: </w:t>
      </w:r>
      <w:r>
        <w:rPr>
          <w:rFonts w:ascii="Arial" w:cs="Arial" w:eastAsia="Arial" w:hAnsi="Arial"/>
          <w:sz w:val="22"/>
          <w:szCs w:val="22"/>
        </w:rPr>
        <w:t xml:space="preserve">As an operational network, TIN could generate revenue by providing communications services to government agencies (NASA, ESA, JAXA), commercial Mars ventures, and scientific missions — creating a sustainable business model beyond initial deployment.</w:t>
      </w:r>
    </w:p>
    <w:p>
      <w:r>
        <w:br w:type="page"/>
      </w:r>
    </w:p>
    <w:p>
      <w:pPr>
        <w:pStyle w:val="Heading1"/>
      </w:pPr>
      <w:r>
        <w:t xml:space="preserve">Next Steps</w:t>
      </w:r>
    </w:p>
    <w:p>
      <w:pPr>
        <w:spacing w:before="80" w:after="80" w:line="276"/>
        <w:jc w:val="both"/>
      </w:pPr>
      <w:r>
        <w:rPr>
          <w:rFonts w:ascii="Arial" w:cs="Arial" w:eastAsia="Arial" w:hAnsi="Arial"/>
          <w:sz w:val="22"/>
          <w:szCs w:val="22"/>
        </w:rPr>
        <w:t xml:space="preserve">The Interplanetary Network addresses a real, near-term infrastructure gap that will become critical as SpaceX’s Mars ambitions materialize. The architecture is grounded in proven orbital mechanics, benchmarked against real mission analogs, and designed to leverage SpaceX’s existing and near-future launch capabilities.</w:t>
      </w:r>
    </w:p>
    <w:p>
      <w:pPr>
        <w:spacing w:before="80" w:after="80" w:line="276"/>
        <w:jc w:val="both"/>
      </w:pPr>
      <w:r>
        <w:rPr>
          <w:rFonts w:ascii="Arial" w:cs="Arial" w:eastAsia="Arial" w:hAnsi="Arial"/>
          <w:sz w:val="22"/>
          <w:szCs w:val="22"/>
        </w:rPr>
        <w:t xml:space="preserve">This proposal is submitted as a concept for consideration and discussion. I believe this network — or something very like it — will be essential for humanity’s multiplanetary future, and that SpaceX is uniquely positioned to build it.</w:t>
      </w:r>
    </w:p>
    <w:p>
      <w:pPr>
        <w:spacing w:before="80" w:after="80" w:line="276"/>
        <w:jc w:val="both"/>
      </w:pPr>
      <w:r>
        <w:rPr>
          <w:rFonts w:ascii="Arial" w:cs="Arial" w:eastAsia="Arial" w:hAnsi="Arial"/>
          <w:sz w:val="22"/>
          <w:szCs w:val="22"/>
        </w:rPr>
        <w:t xml:space="preserve">I welcome the opportunity to discuss this concept further, explore technical refinements, and identify how I can contribute to making it real. Whether as part of a formal feasibility study, a collaborative development effort, or simply as a starting point for strategic planning, the conversation should begin now — the conjunction clock is ticking.</w:t>
      </w:r>
    </w:p>
    <w:p>
      <w:pPr>
        <w:spacing w:before="400" w:after="0"/>
      </w:pPr>
    </w:p>
    <w:p>
      <w:pPr>
        <w:pBdr>
          <w:top w:val="single" w:color="2E75B6" w:sz="4" w:space="8"/>
        </w:pBdr>
        <w:spacing w:after="40"/>
        <w:jc w:val="left"/>
      </w:pPr>
      <w:r>
        <w:rPr>
          <w:rFonts w:ascii="Arial" w:cs="Arial" w:eastAsia="Arial" w:hAnsi="Arial"/>
          <w:b/>
          <w:bCs/>
          <w:color w:val="1B2A4A"/>
          <w:sz w:val="24"/>
          <w:szCs w:val="24"/>
        </w:rPr>
        <w:t xml:space="preserve">Contact</w:t>
      </w:r>
    </w:p>
    <w:p>
      <w:pPr>
        <w:spacing w:before="80" w:after="80" w:line="276"/>
        <w:jc w:val="both"/>
      </w:pPr>
      <w:r>
        <w:rPr>
          <w:rFonts w:ascii="Arial" w:cs="Arial" w:eastAsia="Arial" w:hAnsi="Arial"/>
          <w:sz w:val="22"/>
          <w:szCs w:val="22"/>
        </w:rPr>
        <w:t xml:space="preserve">toxic2040</w:t>
      </w:r>
    </w:p>
    <w:p>
      <w:pPr>
        <w:spacing w:before="80" w:after="80" w:line="276"/>
        <w:jc w:val="both"/>
      </w:pPr>
      <w:r>
        <w:rPr>
          <w:rFonts w:ascii="Arial" w:cs="Arial" w:eastAsia="Arial" w:hAnsi="Arial"/>
          <w:sz w:val="22"/>
          <w:szCs w:val="22"/>
        </w:rPr>
        <w:t xml:space="preserve">February 2026</w:t>
      </w:r>
    </w:p>
    <w:p>
      <w:pPr>
        <w:spacing w:before="400" w:after="0"/>
      </w:pPr>
    </w:p>
    <w:p>
      <w:pPr>
        <w:jc w:val="center"/>
      </w:pPr>
      <w:r>
        <w:rPr>
          <w:rFonts w:ascii="Arial" w:cs="Arial" w:eastAsia="Arial" w:hAnsi="Arial"/>
          <w:i/>
          <w:iCs/>
          <w:color w:val="666666"/>
          <w:sz w:val="22"/>
          <w:szCs w:val="22"/>
        </w:rPr>
        <w:t xml:space="preserve">“Starlink, but heliocentric.”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6"/>
        <w:szCs w:val="16"/>
      </w:rPr>
      <w:t xml:space="preserve">toxic2040  |  February 2026</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666666"/>
        <w:sz w:val="18"/>
        <w:szCs w:val="18"/>
      </w:rPr>
      <w:t xml:space="preserve">The Interplanetary Network</w:t>
    </w:r>
    <w:r>
      <w:rPr>
        <w:rFonts w:ascii="Arial" w:cs="Arial" w:eastAsia="Arial" w:hAnsi="Arial"/>
        <w:color w:val="CCCCCC"/>
        <w:sz w:val="18"/>
        <w:szCs w:val="18"/>
      </w:rPr>
      <w:t xml:space="preserve">  |  </w:t>
    </w:r>
    <w:r>
      <w:rPr>
        <w:rFonts w:ascii="Arial" w:cs="Arial" w:eastAsia="Arial" w:hAnsi="Arial"/>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2026-02-17T06:44:30.315Z</dcterms:created>
  <dcterms:modified xsi:type="dcterms:W3CDTF">2026-02-17T06:44:30.315Z</dcterms:modified>
</cp:coreProperties>
</file>

<file path=docProps/custom.xml><?xml version="1.0" encoding="utf-8"?>
<Properties xmlns="http://schemas.openxmlformats.org/officeDocument/2006/custom-properties" xmlns:vt="http://schemas.openxmlformats.org/officeDocument/2006/docPropsVTypes"/>
</file>