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Контекст выполнения и ключевое слово this.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Глобальный контекст.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strictMode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use strict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strictMode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В браузере `this` в глобальной области всегда равен `window`, а разница между обычным и строгим режимом проявляется только в функциях: в обычном `this = window`, в строгом — `undefined`.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Метод объекта.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//3. Потеря контекста.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Метод теряет `this`, потому что при сохранении в переменную он вызывается без объекта, и контекст больше не привязан.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4. Стрелочная функция.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Стрелочные функции не имеют собственного `this`, они наследуют его из окружающего контекста. В данном случае `this` будет указывать на глобальный объект, а не на `user`, поэтому `this.name` будет `undefined`.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5. Использование bind.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sayName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