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B404E8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a6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Window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Page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Component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Button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ComboBox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Label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TextField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PasswordField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Date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AdvancedTable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VideoPlayer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customizedAction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jumpPanelAction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setFontAction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cleanAction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limitInputAction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useTipAction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showTableAction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showComboBoxAction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swipe2In1CardAction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playMediaAction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rwFingerPrintAction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openBrowserAction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runCommandAction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setPrinterAction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sendMsgAction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insertICardAction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writeICardAction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moveCursorAction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printPassbookAction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playVideoAction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="009068C1" w:rsidRPr="00AB2DCC">
          <w:rPr>
            <w:rStyle w:val="a6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showClockAction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68C1" w:rsidRDefault="00B404E8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="009068C1" w:rsidRPr="00AB2DCC">
          <w:rPr>
            <w:rStyle w:val="a6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a6"/>
            <w:rFonts w:ascii="Times New Roman" w:hAnsi="Times New Roman" w:cs="Times New Roman"/>
            <w:noProof/>
          </w:rPr>
          <w:t>System variable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B404E8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r w:rsidRPr="00541B34">
        <w:rPr>
          <w:rFonts w:ascii="Times New Roman" w:hAnsi="Times New Roman" w:cs="Times New Roman"/>
        </w:rPr>
        <w:t>ComboBox</w:t>
      </w:r>
      <w:bookmarkEnd w:id="7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r w:rsidRPr="00541B34">
        <w:rPr>
          <w:rFonts w:ascii="Times New Roman" w:hAnsi="Times New Roman" w:cs="Times New Roman"/>
        </w:rPr>
        <w:t>PasswordField</w:t>
      </w:r>
      <w:bookmarkEnd w:id="10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r w:rsidRPr="00541B34">
        <w:rPr>
          <w:rFonts w:ascii="Times New Roman" w:hAnsi="Times New Roman" w:cs="Times New Roman"/>
        </w:rPr>
        <w:t>AdvancedTable</w:t>
      </w:r>
      <w:bookmarkEnd w:id="13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r w:rsidRPr="001A6C1E">
        <w:rPr>
          <w:rFonts w:ascii="Times New Roman" w:hAnsi="Times New Roman" w:cs="Times New Roman"/>
        </w:rPr>
        <w:t>VideoPlayer</w:t>
      </w:r>
      <w:bookmarkEnd w:id="14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bookmarkStart w:id="18" w:name="_GoBack"/>
      <w:bookmarkEnd w:id="18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36233013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36233014"/>
      <w:r w:rsidRPr="00541B34">
        <w:rPr>
          <w:rFonts w:ascii="Times New Roman" w:hAnsi="Times New Roman" w:cs="Times New Roman"/>
        </w:rPr>
        <w:lastRenderedPageBreak/>
        <w:t>cleanAction</w:t>
      </w:r>
      <w:bookmarkEnd w:id="20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36233015"/>
      <w:r w:rsidRPr="00541B34">
        <w:rPr>
          <w:rFonts w:ascii="Times New Roman" w:hAnsi="Times New Roman" w:cs="Times New Roman"/>
        </w:rPr>
        <w:t>limitInputAction</w:t>
      </w:r>
      <w:bookmarkEnd w:id="21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1"/>
      <w:bookmarkStart w:id="23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2"/>
      <w:bookmarkEnd w:id="23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4" w:name="OLE_LINK13"/>
      <w:bookmarkStart w:id="25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4"/>
      <w:bookmarkEnd w:id="25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6" w:name="_Toc436233016"/>
      <w:r w:rsidRPr="00541B34">
        <w:rPr>
          <w:rFonts w:ascii="Times New Roman" w:hAnsi="Times New Roman" w:cs="Times New Roman"/>
        </w:rPr>
        <w:t>useTipAction</w:t>
      </w:r>
      <w:bookmarkEnd w:id="26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7" w:name="_Toc436233017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7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8" w:name="_Toc436233018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8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9" w:name="_Toc436233019"/>
      <w:r w:rsidRPr="00F909AF">
        <w:rPr>
          <w:rFonts w:ascii="Times New Roman" w:hAnsi="Times New Roman" w:cs="Times New Roman"/>
        </w:rPr>
        <w:t>swipeCardAction</w:t>
      </w:r>
      <w:bookmarkEnd w:id="29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0" w:name="OLE_LINK1"/>
      <w:bookmarkStart w:id="31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0"/>
    <w:bookmarkEnd w:id="31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&lt;nextCursor&gt;333&lt;/nextCursor&gt;        </w:t>
      </w:r>
      <w:bookmarkStart w:id="32" w:name="OLE_LINK3"/>
      <w:bookmarkStart w:id="33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2"/>
      <w:bookmarkEnd w:id="33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4" w:name="OLE_LINK5"/>
      <w:bookmarkStart w:id="35" w:name="OLE_LINK6"/>
      <w:bookmarkStart w:id="36" w:name="OLE_LINK9"/>
      <w:bookmarkStart w:id="37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4"/>
      <w:bookmarkEnd w:id="35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6"/>
      <w:bookmarkEnd w:id="37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8" w:name="_Toc436233020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38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9" w:name="OLE_LINK7"/>
      <w:bookmarkStart w:id="40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9"/>
      <w:bookmarkEnd w:id="40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1" w:name="_Toc436233021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1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2" w:name="_Toc436233022"/>
      <w:r w:rsidRPr="0068123D">
        <w:rPr>
          <w:rFonts w:ascii="Times New Roman" w:hAnsi="Times New Roman" w:cs="Times New Roman"/>
        </w:rPr>
        <w:t>rwFingerPrintAction</w:t>
      </w:r>
      <w:bookmarkEnd w:id="42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6233023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3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6233024"/>
      <w:r w:rsidRPr="00541B34">
        <w:rPr>
          <w:rFonts w:ascii="Times New Roman" w:hAnsi="Times New Roman" w:cs="Times New Roman"/>
        </w:rPr>
        <w:t>runCommandAction</w:t>
      </w:r>
      <w:bookmarkEnd w:id="44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5" w:name="_Toc436233025"/>
      <w:r w:rsidRPr="00541B34">
        <w:rPr>
          <w:rFonts w:ascii="Times New Roman" w:hAnsi="Times New Roman" w:cs="Times New Roman"/>
        </w:rPr>
        <w:t>virtualKeyboardAction</w:t>
      </w:r>
      <w:bookmarkEnd w:id="45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&lt;virtualKeyboardAction&gt;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6" w:name="_Toc436233026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6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&lt;setPrinterAction&gt;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7" w:name="_Toc436233027"/>
      <w:r w:rsidRPr="00541B34">
        <w:rPr>
          <w:rFonts w:ascii="Times New Roman" w:hAnsi="Times New Roman" w:cs="Times New Roman"/>
        </w:rPr>
        <w:t>sendMsgAction</w:t>
      </w:r>
      <w:bookmarkEnd w:id="47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:rsidR="005C096E" w:rsidRDefault="00DB6BE6" w:rsidP="00DB6BE6">
      <w:pPr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:rsidR="00DB6BE6" w:rsidRDefault="00B80370" w:rsidP="00DB6BE6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460628" w:rsidRDefault="00460628" w:rsidP="00CF1E5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80370" w:rsidRDefault="00CF1E51" w:rsidP="00CF1E51">
      <w:pPr>
        <w:ind w:firstLine="180"/>
        <w:rPr>
          <w:rFonts w:ascii="Times New Roman" w:hAnsi="Times New Roman" w:cs="Times New Roman" w:hint="eastAsia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48" w:name="_Toc436233028"/>
      <w:r w:rsidRPr="00541B34">
        <w:rPr>
          <w:rFonts w:ascii="Times New Roman" w:hAnsi="Times New Roman" w:cs="Times New Roman"/>
        </w:rPr>
        <w:lastRenderedPageBreak/>
        <w:t>insertICardAction</w:t>
      </w:r>
      <w:bookmarkEnd w:id="48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&lt;suceessfulPanel&gt;370&lt;/suceessfulPanel&gt;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&lt;failedPanel&gt;200&lt;/failedPanel&gt;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49" w:name="_Toc436233029"/>
      <w:r w:rsidRPr="00541B34">
        <w:rPr>
          <w:rFonts w:ascii="Times New Roman" w:hAnsi="Times New Roman" w:cs="Times New Roman"/>
        </w:rPr>
        <w:t>writeICardAction</w:t>
      </w:r>
      <w:bookmarkEnd w:id="49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&lt;prsCode&gt;buygas&lt;/prsCode&gt;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0" w:name="_Toc436233030"/>
      <w:r w:rsidRPr="00541B34">
        <w:rPr>
          <w:rFonts w:ascii="Times New Roman" w:hAnsi="Times New Roman" w:cs="Times New Roman"/>
        </w:rPr>
        <w:t>moveCursorAction</w:t>
      </w:r>
      <w:bookmarkEnd w:id="50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1" w:name="_Toc436233031"/>
      <w:r w:rsidRPr="002A1473">
        <w:rPr>
          <w:rFonts w:ascii="Times New Roman" w:hAnsi="Times New Roman" w:cs="Times New Roman"/>
        </w:rPr>
        <w:t>printPassbookAction</w:t>
      </w:r>
      <w:bookmarkEnd w:id="51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6233032"/>
      <w:r w:rsidRPr="008378A6">
        <w:rPr>
          <w:rFonts w:ascii="Times New Roman" w:hAnsi="Times New Roman" w:cs="Times New Roman"/>
        </w:rPr>
        <w:t>playVideoAction</w:t>
      </w:r>
      <w:bookmarkEnd w:id="52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6233033"/>
      <w:r w:rsidRPr="00F83D3D">
        <w:rPr>
          <w:rFonts w:ascii="Times New Roman" w:hAnsi="Times New Roman" w:cs="Times New Roman"/>
        </w:rPr>
        <w:t>showClockAction</w:t>
      </w:r>
      <w:bookmarkEnd w:id="53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4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4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4D1B2E-2C7A-4988-BE0F-EBD89CB9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33</Pages>
  <Words>4812</Words>
  <Characters>27433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729</cp:revision>
  <dcterms:created xsi:type="dcterms:W3CDTF">2008-09-11T17:20:00Z</dcterms:created>
  <dcterms:modified xsi:type="dcterms:W3CDTF">2015-12-11T12:04:00Z</dcterms:modified>
</cp:coreProperties>
</file>