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w:t>
      </w:r>
      <w:proofErr w:type="spellStart"/>
      <w:r w:rsidR="0055441F">
        <w:rPr>
          <w:color w:val="FF0000"/>
        </w:rPr>
        <w:t>Jian</w:t>
      </w:r>
      <w:proofErr w:type="spellEnd"/>
      <w:r w:rsidR="0055441F">
        <w:rPr>
          <w:color w:val="FF0000"/>
        </w:rPr>
        <w:t xml:space="preserve">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w:t>
      </w:r>
      <w:proofErr w:type="spellStart"/>
      <w:r w:rsidR="0055441F">
        <w:rPr>
          <w:color w:val="FF0000"/>
        </w:rPr>
        <w:t>eXtreme</w:t>
      </w:r>
      <w:proofErr w:type="spellEnd"/>
      <w:r w:rsidR="0055441F">
        <w:rPr>
          <w:color w:val="FF0000"/>
        </w:rPr>
        <w:t xml:space="preserv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w:t>
      </w:r>
      <w:proofErr w:type="gramStart"/>
      <w:r w:rsidRPr="00A1104D">
        <w:rPr>
          <w:color w:val="FF6600"/>
        </w:rPr>
        <w:t>a 3D</w:t>
      </w:r>
      <w:proofErr w:type="gramEnd"/>
      <w:r w:rsidRPr="00A1104D">
        <w:rPr>
          <w:color w:val="FF6600"/>
        </w:rPr>
        <w:t xml:space="preserve"> printer-based production line, or an automated supply chain. These kind of concrete challenges will naturally drive students to become aware of </w:t>
      </w:r>
      <w:proofErr w:type="gramStart"/>
      <w:r w:rsidRPr="00A1104D">
        <w:rPr>
          <w:color w:val="FF6600"/>
        </w:rPr>
        <w:t>multiple</w:t>
      </w:r>
      <w:proofErr w:type="gramEnd"/>
      <w:r w:rsidRPr="00A1104D">
        <w:rPr>
          <w:color w:val="FF6600"/>
        </w:rPr>
        <w:t xml:space="preserve"> layers of system issues, therefore, realizing our learning objectives. </w:t>
      </w:r>
    </w:p>
    <w:p w14:paraId="11B794C2" w14:textId="77777777" w:rsidR="00162C54" w:rsidRPr="00A1104D" w:rsidRDefault="00162C54">
      <w:pPr>
        <w:rPr>
          <w:color w:val="FF6600"/>
        </w:rPr>
      </w:pPr>
    </w:p>
    <w:p w14:paraId="094586DB" w14:textId="0C4153F5" w:rsidR="00162C54" w:rsidRPr="00A1104D" w:rsidRDefault="00162C54">
      <w:pPr>
        <w:rPr>
          <w:color w:val="FF6600"/>
        </w:rPr>
      </w:pPr>
      <w:r w:rsidRPr="00A1104D">
        <w:rPr>
          <w:color w:val="FF6600"/>
        </w:rPr>
        <w:t xml:space="preserve">Then, XLP is a process that guides both students and instructors to improve the learning environment in a continuous improvement fashion. Instructors form a </w:t>
      </w:r>
      <w:proofErr w:type="gramStart"/>
      <w:r w:rsidRPr="00A1104D">
        <w:rPr>
          <w:color w:val="FF6600"/>
        </w:rPr>
        <w:t>team, that</w:t>
      </w:r>
      <w:proofErr w:type="gramEnd"/>
      <w:r w:rsidRPr="00A1104D">
        <w:rPr>
          <w:color w:val="FF6600"/>
        </w:rPr>
        <w:t xml:space="preserve"> should include some volunteer students to reflect the opinions of students. However, these volunteers are also considered as part of the instruction team. The benefit is that we need many people to transfer the social experience to a large student </w:t>
      </w:r>
      <w:proofErr w:type="gramStart"/>
      <w:r w:rsidRPr="00A1104D">
        <w:rPr>
          <w:color w:val="FF6600"/>
        </w:rPr>
        <w:t>body,</w:t>
      </w:r>
      <w:proofErr w:type="gramEnd"/>
      <w:r w:rsidRPr="00A1104D">
        <w:rPr>
          <w:color w:val="FF6600"/>
        </w:rPr>
        <w:t xml:space="preserve">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2B3D204D" w14:textId="77777777" w:rsidR="00511D62" w:rsidRDefault="00511D62">
      <w:pPr>
        <w:rPr>
          <w:lang w:eastAsia="zh-CN"/>
        </w:rPr>
      </w:pPr>
    </w:p>
    <w:p w14:paraId="630D0678" w14:textId="69D0CA44" w:rsidR="00511D62" w:rsidRPr="00770C9A" w:rsidRDefault="00511D62">
      <w:pPr>
        <w:rPr>
          <w:color w:val="0000FF"/>
          <w:lang w:eastAsia="zh-CN"/>
        </w:rPr>
      </w:pPr>
      <w:r w:rsidRPr="00770C9A">
        <w:rPr>
          <w:color w:val="0000FF"/>
          <w:lang w:eastAsia="zh-CN"/>
        </w:rPr>
        <w:t>To summarize, the key ideas in XLP can be explained as follows:</w:t>
      </w:r>
    </w:p>
    <w:p w14:paraId="05BE1FA6" w14:textId="77777777" w:rsidR="00511D62" w:rsidRPr="00770C9A" w:rsidRDefault="00511D62">
      <w:pPr>
        <w:rPr>
          <w:color w:val="0000FF"/>
          <w:lang w:eastAsia="zh-CN"/>
        </w:rPr>
      </w:pPr>
    </w:p>
    <w:p w14:paraId="6B6C2AD7" w14:textId="77777777" w:rsidR="00511D62" w:rsidRPr="00770C9A" w:rsidRDefault="00511D62" w:rsidP="00511D62">
      <w:pPr>
        <w:rPr>
          <w:color w:val="0000FF"/>
          <w:lang w:eastAsia="zh-CN"/>
        </w:rPr>
      </w:pPr>
      <w:r w:rsidRPr="00770C9A">
        <w:rPr>
          <w:color w:val="0000FF"/>
          <w:lang w:eastAsia="zh-CN"/>
        </w:rPr>
        <w:t xml:space="preserve">1. Industrial Grade </w:t>
      </w:r>
      <w:proofErr w:type="spellStart"/>
      <w:r w:rsidRPr="00770C9A">
        <w:rPr>
          <w:color w:val="0000FF"/>
          <w:lang w:eastAsia="zh-CN"/>
        </w:rPr>
        <w:t>Proces</w:t>
      </w:r>
      <w:proofErr w:type="spellEnd"/>
      <w:r w:rsidRPr="00770C9A">
        <w:rPr>
          <w:color w:val="0000FF"/>
          <w:lang w:eastAsia="zh-CN"/>
        </w:rPr>
        <w:t xml:space="preserve"> Control</w:t>
      </w:r>
    </w:p>
    <w:p w14:paraId="2FB46A46" w14:textId="77777777" w:rsidR="00511D62" w:rsidRPr="00770C9A" w:rsidRDefault="00511D62" w:rsidP="00511D62">
      <w:pPr>
        <w:rPr>
          <w:color w:val="0000FF"/>
          <w:lang w:eastAsia="zh-CN"/>
        </w:rPr>
      </w:pPr>
      <w:r w:rsidRPr="00770C9A">
        <w:rPr>
          <w:color w:val="0000FF"/>
          <w:lang w:eastAsia="zh-CN"/>
        </w:rPr>
        <w:t xml:space="preserve">    </w:t>
      </w:r>
      <w:r w:rsidRPr="00770C9A">
        <w:rPr>
          <w:color w:val="0000FF"/>
          <w:lang w:eastAsia="zh-CN"/>
        </w:rPr>
        <w:t>高度</w:t>
      </w:r>
      <w:r w:rsidRPr="00770C9A">
        <w:rPr>
          <w:rFonts w:ascii="宋体" w:eastAsia="宋体" w:hAnsi="宋体" w:cs="宋体" w:hint="eastAsia"/>
          <w:color w:val="0000FF"/>
          <w:lang w:eastAsia="zh-CN"/>
        </w:rPr>
        <w:t>专业</w:t>
      </w:r>
      <w:r w:rsidRPr="00770C9A">
        <w:rPr>
          <w:color w:val="0000FF"/>
          <w:lang w:eastAsia="zh-CN"/>
        </w:rPr>
        <w:t>的</w:t>
      </w:r>
      <w:r w:rsidRPr="00770C9A">
        <w:rPr>
          <w:rFonts w:ascii="宋体" w:eastAsia="宋体" w:hAnsi="宋体" w:cs="宋体" w:hint="eastAsia"/>
          <w:color w:val="0000FF"/>
          <w:lang w:eastAsia="zh-CN"/>
        </w:rPr>
        <w:t>过</w:t>
      </w:r>
      <w:r w:rsidRPr="00770C9A">
        <w:rPr>
          <w:color w:val="0000FF"/>
          <w:lang w:eastAsia="zh-CN"/>
        </w:rPr>
        <w:t>程管理技</w:t>
      </w:r>
      <w:r w:rsidRPr="00770C9A">
        <w:rPr>
          <w:rFonts w:ascii="宋体" w:eastAsia="宋体" w:hAnsi="宋体" w:cs="宋体" w:hint="eastAsia"/>
          <w:color w:val="0000FF"/>
          <w:lang w:eastAsia="zh-CN"/>
        </w:rPr>
        <w:t>术</w:t>
      </w:r>
      <w:r w:rsidRPr="00770C9A">
        <w:rPr>
          <w:color w:val="0000FF"/>
          <w:lang w:eastAsia="zh-CN"/>
        </w:rPr>
        <w:t>：数据管理和</w:t>
      </w:r>
      <w:r w:rsidRPr="00770C9A">
        <w:rPr>
          <w:rFonts w:ascii="宋体" w:eastAsia="宋体" w:hAnsi="宋体" w:cs="宋体" w:hint="eastAsia"/>
          <w:color w:val="0000FF"/>
          <w:lang w:eastAsia="zh-CN"/>
        </w:rPr>
        <w:t>过</w:t>
      </w:r>
      <w:r w:rsidRPr="00770C9A">
        <w:rPr>
          <w:color w:val="0000FF"/>
          <w:lang w:eastAsia="zh-CN"/>
        </w:rPr>
        <w:t>程管理的完整流程，如何使用多种数据管理工具（</w:t>
      </w:r>
      <w:proofErr w:type="spellStart"/>
      <w:r w:rsidRPr="00770C9A">
        <w:rPr>
          <w:color w:val="0000FF"/>
          <w:lang w:eastAsia="zh-CN"/>
        </w:rPr>
        <w:t>github</w:t>
      </w:r>
      <w:proofErr w:type="spellEnd"/>
      <w:r w:rsidRPr="00770C9A">
        <w:rPr>
          <w:color w:val="0000FF"/>
          <w:lang w:eastAsia="zh-CN"/>
        </w:rPr>
        <w:t>等）</w:t>
      </w:r>
      <w:r w:rsidRPr="00770C9A">
        <w:rPr>
          <w:rFonts w:ascii="宋体" w:eastAsia="宋体" w:hAnsi="宋体" w:cs="宋体" w:hint="eastAsia"/>
          <w:color w:val="0000FF"/>
          <w:lang w:eastAsia="zh-CN"/>
        </w:rPr>
        <w:t>记录</w:t>
      </w:r>
      <w:r w:rsidRPr="00770C9A">
        <w:rPr>
          <w:color w:val="0000FF"/>
          <w:lang w:eastAsia="zh-CN"/>
        </w:rPr>
        <w:t>和分享学</w:t>
      </w:r>
      <w:r w:rsidRPr="00770C9A">
        <w:rPr>
          <w:rFonts w:ascii="宋体" w:eastAsia="宋体" w:hAnsi="宋体" w:cs="宋体" w:hint="eastAsia"/>
          <w:color w:val="0000FF"/>
          <w:lang w:eastAsia="zh-CN"/>
        </w:rPr>
        <w:t>习过</w:t>
      </w:r>
      <w:r w:rsidRPr="00770C9A">
        <w:rPr>
          <w:color w:val="0000FF"/>
          <w:lang w:eastAsia="zh-CN"/>
        </w:rPr>
        <w:t>程，</w:t>
      </w:r>
      <w:r w:rsidRPr="00770C9A">
        <w:rPr>
          <w:rFonts w:ascii="宋体" w:eastAsia="宋体" w:hAnsi="宋体" w:cs="宋体" w:hint="eastAsia"/>
          <w:color w:val="0000FF"/>
          <w:lang w:eastAsia="zh-CN"/>
        </w:rPr>
        <w:t>驱动</w:t>
      </w:r>
      <w:r w:rsidRPr="00770C9A">
        <w:rPr>
          <w:color w:val="0000FF"/>
          <w:lang w:eastAsia="zh-CN"/>
        </w:rPr>
        <w:t>群体行</w:t>
      </w:r>
      <w:r w:rsidRPr="00770C9A">
        <w:rPr>
          <w:rFonts w:ascii="宋体" w:eastAsia="宋体" w:hAnsi="宋体" w:cs="宋体" w:hint="eastAsia"/>
          <w:color w:val="0000FF"/>
          <w:lang w:eastAsia="zh-CN"/>
        </w:rPr>
        <w:t>为</w:t>
      </w:r>
      <w:r w:rsidRPr="00770C9A">
        <w:rPr>
          <w:color w:val="0000FF"/>
          <w:lang w:eastAsia="zh-CN"/>
        </w:rPr>
        <w:t>，使用</w:t>
      </w:r>
      <w:proofErr w:type="spellStart"/>
      <w:r w:rsidRPr="00770C9A">
        <w:rPr>
          <w:color w:val="0000FF"/>
          <w:lang w:eastAsia="zh-CN"/>
        </w:rPr>
        <w:t>dpc</w:t>
      </w:r>
      <w:proofErr w:type="spellEnd"/>
      <w:r w:rsidRPr="00770C9A">
        <w:rPr>
          <w:rFonts w:ascii="宋体" w:eastAsia="宋体" w:hAnsi="宋体" w:cs="宋体" w:hint="eastAsia"/>
          <w:color w:val="0000FF"/>
          <w:lang w:eastAsia="zh-CN"/>
        </w:rPr>
        <w:t>评</w:t>
      </w:r>
      <w:r w:rsidRPr="00770C9A">
        <w:rPr>
          <w:color w:val="0000FF"/>
          <w:lang w:eastAsia="zh-CN"/>
        </w:rPr>
        <w:t>价学</w:t>
      </w:r>
      <w:r w:rsidRPr="00770C9A">
        <w:rPr>
          <w:rFonts w:ascii="宋体" w:eastAsia="宋体" w:hAnsi="宋体" w:cs="宋体" w:hint="eastAsia"/>
          <w:color w:val="0000FF"/>
          <w:lang w:eastAsia="zh-CN"/>
        </w:rPr>
        <w:t>习</w:t>
      </w:r>
      <w:bookmarkStart w:id="0" w:name="_GoBack"/>
      <w:r w:rsidRPr="00770C9A">
        <w:rPr>
          <w:rFonts w:ascii="宋体" w:eastAsia="宋体" w:hAnsi="宋体" w:cs="宋体" w:hint="eastAsia"/>
          <w:color w:val="0000FF"/>
          <w:lang w:eastAsia="zh-CN"/>
        </w:rPr>
        <w:t>过</w:t>
      </w:r>
      <w:r w:rsidRPr="00770C9A">
        <w:rPr>
          <w:color w:val="0000FF"/>
          <w:lang w:eastAsia="zh-CN"/>
        </w:rPr>
        <w:t>程的</w:t>
      </w:r>
      <w:r w:rsidRPr="00770C9A">
        <w:rPr>
          <w:rFonts w:ascii="宋体" w:eastAsia="宋体" w:hAnsi="宋体" w:cs="宋体" w:hint="eastAsia"/>
          <w:color w:val="0000FF"/>
          <w:lang w:eastAsia="zh-CN"/>
        </w:rPr>
        <w:t>产</w:t>
      </w:r>
      <w:r w:rsidRPr="00770C9A">
        <w:rPr>
          <w:color w:val="0000FF"/>
          <w:lang w:eastAsia="zh-CN"/>
        </w:rPr>
        <w:t>出，并利用密集的</w:t>
      </w:r>
      <w:r w:rsidRPr="00770C9A">
        <w:rPr>
          <w:rFonts w:ascii="宋体" w:eastAsia="宋体" w:hAnsi="宋体" w:cs="宋体" w:hint="eastAsia"/>
          <w:color w:val="0000FF"/>
          <w:lang w:eastAsia="zh-CN"/>
        </w:rPr>
        <w:t>检查</w:t>
      </w:r>
      <w:r w:rsidRPr="00770C9A">
        <w:rPr>
          <w:color w:val="0000FF"/>
          <w:lang w:eastAsia="zh-CN"/>
        </w:rPr>
        <w:t>点保</w:t>
      </w:r>
      <w:r w:rsidRPr="00770C9A">
        <w:rPr>
          <w:rFonts w:ascii="宋体" w:eastAsia="宋体" w:hAnsi="宋体" w:cs="宋体" w:hint="eastAsia"/>
          <w:color w:val="0000FF"/>
          <w:lang w:eastAsia="zh-CN"/>
        </w:rPr>
        <w:t>证</w:t>
      </w:r>
      <w:r w:rsidRPr="00770C9A">
        <w:rPr>
          <w:color w:val="0000FF"/>
          <w:lang w:eastAsia="zh-CN"/>
        </w:rPr>
        <w:t>整体的</w:t>
      </w:r>
      <w:r w:rsidRPr="00770C9A">
        <w:rPr>
          <w:rFonts w:ascii="宋体" w:eastAsia="宋体" w:hAnsi="宋体" w:cs="宋体" w:hint="eastAsia"/>
          <w:color w:val="0000FF"/>
          <w:lang w:eastAsia="zh-CN"/>
        </w:rPr>
        <w:t>进</w:t>
      </w:r>
      <w:r w:rsidRPr="00770C9A">
        <w:rPr>
          <w:color w:val="0000FF"/>
          <w:lang w:eastAsia="zh-CN"/>
        </w:rPr>
        <w:t>度（</w:t>
      </w:r>
      <w:r w:rsidRPr="00770C9A">
        <w:rPr>
          <w:rFonts w:ascii="宋体" w:eastAsia="宋体" w:hAnsi="宋体" w:cs="宋体" w:hint="eastAsia"/>
          <w:color w:val="0000FF"/>
          <w:lang w:eastAsia="zh-CN"/>
        </w:rPr>
        <w:t>检查</w:t>
      </w:r>
      <w:r w:rsidRPr="00770C9A">
        <w:rPr>
          <w:color w:val="0000FF"/>
          <w:lang w:eastAsia="zh-CN"/>
        </w:rPr>
        <w:t>点的意</w:t>
      </w:r>
      <w:r w:rsidRPr="00770C9A">
        <w:rPr>
          <w:rFonts w:ascii="宋体" w:eastAsia="宋体" w:hAnsi="宋体" w:cs="宋体" w:hint="eastAsia"/>
          <w:color w:val="0000FF"/>
          <w:lang w:eastAsia="zh-CN"/>
        </w:rPr>
        <w:t>义</w:t>
      </w:r>
      <w:r w:rsidRPr="00770C9A">
        <w:rPr>
          <w:color w:val="0000FF"/>
          <w:lang w:eastAsia="zh-CN"/>
        </w:rPr>
        <w:t>在于快速密集地</w:t>
      </w:r>
      <w:bookmarkEnd w:id="0"/>
      <w:r w:rsidRPr="00770C9A">
        <w:rPr>
          <w:rFonts w:ascii="宋体" w:eastAsia="宋体" w:hAnsi="宋体" w:cs="宋体" w:hint="eastAsia"/>
          <w:color w:val="0000FF"/>
          <w:lang w:eastAsia="zh-CN"/>
        </w:rPr>
        <w:t>发现错误</w:t>
      </w:r>
      <w:r w:rsidRPr="00770C9A">
        <w:rPr>
          <w:color w:val="0000FF"/>
          <w:lang w:eastAsia="zh-CN"/>
        </w:rPr>
        <w:t>）</w:t>
      </w:r>
    </w:p>
    <w:p w14:paraId="375DD61F" w14:textId="77777777" w:rsidR="00511D62" w:rsidRPr="00770C9A" w:rsidRDefault="00511D62" w:rsidP="00511D62">
      <w:pPr>
        <w:rPr>
          <w:color w:val="0000FF"/>
          <w:lang w:eastAsia="zh-CN"/>
        </w:rPr>
      </w:pPr>
    </w:p>
    <w:p w14:paraId="25EC432C" w14:textId="77777777" w:rsidR="00511D62" w:rsidRPr="00770C9A" w:rsidRDefault="00511D62" w:rsidP="00511D62">
      <w:pPr>
        <w:rPr>
          <w:color w:val="0000FF"/>
          <w:lang w:eastAsia="zh-CN"/>
        </w:rPr>
      </w:pPr>
      <w:r w:rsidRPr="00770C9A">
        <w:rPr>
          <w:color w:val="0000FF"/>
          <w:lang w:eastAsia="zh-CN"/>
        </w:rPr>
        <w:t>2. Custom-made learning experience</w:t>
      </w:r>
    </w:p>
    <w:p w14:paraId="73D9B5A4" w14:textId="77777777" w:rsidR="00511D62" w:rsidRPr="00770C9A" w:rsidRDefault="00511D62" w:rsidP="00511D62">
      <w:pPr>
        <w:rPr>
          <w:color w:val="0000FF"/>
          <w:lang w:eastAsia="zh-CN"/>
        </w:rPr>
      </w:pPr>
      <w:r w:rsidRPr="00770C9A">
        <w:rPr>
          <w:color w:val="0000FF"/>
          <w:lang w:eastAsia="zh-CN"/>
        </w:rPr>
        <w:t xml:space="preserve">    </w:t>
      </w:r>
      <w:proofErr w:type="spellStart"/>
      <w:r w:rsidRPr="00770C9A">
        <w:rPr>
          <w:color w:val="0000FF"/>
          <w:lang w:eastAsia="zh-CN"/>
        </w:rPr>
        <w:t>xlp</w:t>
      </w:r>
      <w:proofErr w:type="spellEnd"/>
      <w:r w:rsidRPr="00770C9A">
        <w:rPr>
          <w:color w:val="0000FF"/>
          <w:lang w:eastAsia="zh-CN"/>
        </w:rPr>
        <w:t>的准</w:t>
      </w:r>
      <w:r w:rsidRPr="00770C9A">
        <w:rPr>
          <w:rFonts w:ascii="宋体" w:eastAsia="宋体" w:hAnsi="宋体" w:cs="宋体" w:hint="eastAsia"/>
          <w:color w:val="0000FF"/>
          <w:lang w:eastAsia="zh-CN"/>
        </w:rPr>
        <w:t>备过</w:t>
      </w:r>
      <w:r w:rsidRPr="00770C9A">
        <w:rPr>
          <w:color w:val="0000FF"/>
          <w:lang w:eastAsia="zh-CN"/>
        </w:rPr>
        <w:t>程是</w:t>
      </w:r>
      <w:r w:rsidRPr="00770C9A">
        <w:rPr>
          <w:rFonts w:ascii="宋体" w:eastAsia="宋体" w:hAnsi="宋体" w:cs="宋体" w:hint="eastAsia"/>
          <w:color w:val="0000FF"/>
          <w:lang w:eastAsia="zh-CN"/>
        </w:rPr>
        <w:t>为</w:t>
      </w:r>
      <w:r w:rsidRPr="00770C9A">
        <w:rPr>
          <w:color w:val="0000FF"/>
          <w:lang w:eastAsia="zh-CN"/>
        </w:rPr>
        <w:t>不同</w:t>
      </w:r>
      <w:r w:rsidRPr="00770C9A">
        <w:rPr>
          <w:rFonts w:ascii="宋体" w:eastAsia="宋体" w:hAnsi="宋体" w:cs="宋体" w:hint="eastAsia"/>
          <w:color w:val="0000FF"/>
          <w:lang w:eastAsia="zh-CN"/>
        </w:rPr>
        <w:t>组织</w:t>
      </w:r>
      <w:r w:rsidRPr="00770C9A">
        <w:rPr>
          <w:color w:val="0000FF"/>
          <w:lang w:eastAsia="zh-CN"/>
        </w:rPr>
        <w:t>量身定做的学</w:t>
      </w:r>
      <w:r w:rsidRPr="00770C9A">
        <w:rPr>
          <w:rFonts w:ascii="宋体" w:eastAsia="宋体" w:hAnsi="宋体" w:cs="宋体" w:hint="eastAsia"/>
          <w:color w:val="0000FF"/>
          <w:lang w:eastAsia="zh-CN"/>
        </w:rPr>
        <w:t>习过</w:t>
      </w:r>
      <w:r w:rsidRPr="00770C9A">
        <w:rPr>
          <w:color w:val="0000FF"/>
          <w:lang w:eastAsia="zh-CN"/>
        </w:rPr>
        <w:t>程</w:t>
      </w:r>
      <w:r w:rsidRPr="00770C9A">
        <w:rPr>
          <w:rFonts w:ascii="宋体" w:eastAsia="宋体" w:hAnsi="宋体" w:cs="宋体" w:hint="eastAsia"/>
          <w:color w:val="0000FF"/>
          <w:lang w:eastAsia="zh-CN"/>
        </w:rPr>
        <w:t>设计</w:t>
      </w:r>
      <w:r w:rsidRPr="00770C9A">
        <w:rPr>
          <w:color w:val="0000FF"/>
          <w:lang w:eastAsia="zh-CN"/>
        </w:rPr>
        <w:t>：</w:t>
      </w:r>
      <w:proofErr w:type="spellStart"/>
      <w:r w:rsidRPr="00770C9A">
        <w:rPr>
          <w:color w:val="0000FF"/>
          <w:lang w:eastAsia="zh-CN"/>
        </w:rPr>
        <w:t>xlp</w:t>
      </w:r>
      <w:proofErr w:type="spellEnd"/>
      <w:r w:rsidRPr="00770C9A">
        <w:rPr>
          <w:rFonts w:ascii="宋体" w:eastAsia="宋体" w:hAnsi="宋体" w:cs="宋体" w:hint="eastAsia"/>
          <w:color w:val="0000FF"/>
          <w:lang w:eastAsia="zh-CN"/>
        </w:rPr>
        <w:t>设计团队</w:t>
      </w:r>
      <w:r w:rsidRPr="00770C9A">
        <w:rPr>
          <w:color w:val="0000FF"/>
          <w:lang w:eastAsia="zh-CN"/>
        </w:rPr>
        <w:t>的工作流程，即在</w:t>
      </w:r>
      <w:r w:rsidRPr="00770C9A">
        <w:rPr>
          <w:color w:val="0000FF"/>
          <w:lang w:eastAsia="zh-CN"/>
        </w:rPr>
        <w:t>5</w:t>
      </w:r>
      <w:r w:rsidRPr="00770C9A">
        <w:rPr>
          <w:color w:val="0000FF"/>
          <w:lang w:eastAsia="zh-CN"/>
        </w:rPr>
        <w:t>个</w:t>
      </w:r>
      <w:r w:rsidRPr="00770C9A">
        <w:rPr>
          <w:rFonts w:ascii="宋体" w:eastAsia="宋体" w:hAnsi="宋体" w:cs="宋体" w:hint="eastAsia"/>
          <w:color w:val="0000FF"/>
          <w:lang w:eastAsia="zh-CN"/>
        </w:rPr>
        <w:t>层</w:t>
      </w:r>
      <w:r w:rsidRPr="00770C9A">
        <w:rPr>
          <w:color w:val="0000FF"/>
          <w:lang w:eastAsia="zh-CN"/>
        </w:rPr>
        <w:t>面</w:t>
      </w:r>
      <w:r w:rsidRPr="00770C9A">
        <w:rPr>
          <w:rFonts w:ascii="宋体" w:eastAsia="宋体" w:hAnsi="宋体" w:cs="宋体" w:hint="eastAsia"/>
          <w:color w:val="0000FF"/>
          <w:lang w:eastAsia="zh-CN"/>
        </w:rPr>
        <w:t>设计</w:t>
      </w:r>
      <w:r w:rsidRPr="00770C9A">
        <w:rPr>
          <w:color w:val="0000FF"/>
          <w:lang w:eastAsia="zh-CN"/>
        </w:rPr>
        <w:t>学</w:t>
      </w:r>
      <w:r w:rsidRPr="00770C9A">
        <w:rPr>
          <w:rFonts w:ascii="宋体" w:eastAsia="宋体" w:hAnsi="宋体" w:cs="宋体" w:hint="eastAsia"/>
          <w:color w:val="0000FF"/>
          <w:lang w:eastAsia="zh-CN"/>
        </w:rPr>
        <w:t>习</w:t>
      </w:r>
      <w:r w:rsidRPr="00770C9A">
        <w:rPr>
          <w:color w:val="0000FF"/>
          <w:lang w:eastAsia="zh-CN"/>
        </w:rPr>
        <w:t>活</w:t>
      </w:r>
      <w:r w:rsidRPr="00770C9A">
        <w:rPr>
          <w:rFonts w:ascii="宋体" w:eastAsia="宋体" w:hAnsi="宋体" w:cs="宋体" w:hint="eastAsia"/>
          <w:color w:val="0000FF"/>
          <w:lang w:eastAsia="zh-CN"/>
        </w:rPr>
        <w:t>动</w:t>
      </w:r>
      <w:r w:rsidRPr="00770C9A">
        <w:rPr>
          <w:color w:val="0000FF"/>
          <w:lang w:eastAsia="zh-CN"/>
        </w:rPr>
        <w:t>内容的</w:t>
      </w:r>
      <w:r w:rsidRPr="00770C9A">
        <w:rPr>
          <w:rFonts w:ascii="宋体" w:eastAsia="宋体" w:hAnsi="宋体" w:cs="宋体" w:hint="eastAsia"/>
          <w:color w:val="0000FF"/>
          <w:lang w:eastAsia="zh-CN"/>
        </w:rPr>
        <w:t>过</w:t>
      </w:r>
      <w:r w:rsidRPr="00770C9A">
        <w:rPr>
          <w:color w:val="0000FF"/>
          <w:lang w:eastAsia="zh-CN"/>
        </w:rPr>
        <w:t>程</w:t>
      </w:r>
    </w:p>
    <w:p w14:paraId="021A3970" w14:textId="77777777" w:rsidR="00511D62" w:rsidRPr="00770C9A" w:rsidRDefault="00511D62" w:rsidP="00511D62">
      <w:pPr>
        <w:rPr>
          <w:color w:val="0000FF"/>
          <w:lang w:eastAsia="zh-CN"/>
        </w:rPr>
      </w:pPr>
    </w:p>
    <w:p w14:paraId="431A1DAF" w14:textId="77777777" w:rsidR="00511D62" w:rsidRPr="00770C9A" w:rsidRDefault="00511D62" w:rsidP="00511D62">
      <w:pPr>
        <w:rPr>
          <w:color w:val="0000FF"/>
          <w:lang w:eastAsia="zh-CN"/>
        </w:rPr>
      </w:pPr>
      <w:r w:rsidRPr="00770C9A">
        <w:rPr>
          <w:color w:val="0000FF"/>
          <w:lang w:eastAsia="zh-CN"/>
        </w:rPr>
        <w:t>3. Procedurally raise awareness at different system level</w:t>
      </w:r>
    </w:p>
    <w:p w14:paraId="15DAC95F" w14:textId="7438BE5E" w:rsidR="00770C9A" w:rsidRPr="00770C9A" w:rsidRDefault="00511D62" w:rsidP="00770C9A">
      <w:pPr>
        <w:rPr>
          <w:color w:val="0000FF"/>
          <w:lang w:eastAsia="zh-CN"/>
        </w:rPr>
      </w:pPr>
      <w:r w:rsidRPr="00770C9A">
        <w:rPr>
          <w:color w:val="0000FF"/>
          <w:lang w:eastAsia="zh-CN"/>
        </w:rPr>
        <w:t xml:space="preserve">    </w:t>
      </w:r>
      <w:r w:rsidRPr="00770C9A">
        <w:rPr>
          <w:rFonts w:ascii="宋体" w:eastAsia="宋体" w:hAnsi="宋体" w:cs="宋体" w:hint="eastAsia"/>
          <w:color w:val="0000FF"/>
          <w:lang w:eastAsia="zh-CN"/>
        </w:rPr>
        <w:t>渐进</w:t>
      </w:r>
      <w:r w:rsidRPr="00770C9A">
        <w:rPr>
          <w:color w:val="0000FF"/>
          <w:lang w:eastAsia="zh-CN"/>
        </w:rPr>
        <w:t>地</w:t>
      </w:r>
      <w:r w:rsidRPr="00770C9A">
        <w:rPr>
          <w:rFonts w:ascii="宋体" w:eastAsia="宋体" w:hAnsi="宋体" w:cs="宋体" w:hint="eastAsia"/>
          <w:color w:val="0000FF"/>
          <w:lang w:eastAsia="zh-CN"/>
        </w:rPr>
        <w:t>唤</w:t>
      </w:r>
      <w:r w:rsidRPr="00770C9A">
        <w:rPr>
          <w:color w:val="0000FF"/>
          <w:lang w:eastAsia="zh-CN"/>
        </w:rPr>
        <w:t>醒参与者在不同</w:t>
      </w:r>
      <w:r w:rsidRPr="00770C9A">
        <w:rPr>
          <w:rFonts w:ascii="宋体" w:eastAsia="宋体" w:hAnsi="宋体" w:cs="宋体" w:hint="eastAsia"/>
          <w:color w:val="0000FF"/>
          <w:lang w:eastAsia="zh-CN"/>
        </w:rPr>
        <w:t>层</w:t>
      </w:r>
      <w:r w:rsidRPr="00770C9A">
        <w:rPr>
          <w:color w:val="0000FF"/>
          <w:lang w:eastAsia="zh-CN"/>
        </w:rPr>
        <w:t>面的意</w:t>
      </w:r>
      <w:r w:rsidRPr="00770C9A">
        <w:rPr>
          <w:rFonts w:ascii="宋体" w:eastAsia="宋体" w:hAnsi="宋体" w:cs="宋体" w:hint="eastAsia"/>
          <w:color w:val="0000FF"/>
          <w:lang w:eastAsia="zh-CN"/>
        </w:rPr>
        <w:t>识</w:t>
      </w:r>
      <w:r w:rsidRPr="00770C9A">
        <w:rPr>
          <w:color w:val="0000FF"/>
          <w:lang w:eastAsia="zh-CN"/>
        </w:rPr>
        <w:t>：</w:t>
      </w:r>
      <w:proofErr w:type="spellStart"/>
      <w:r w:rsidRPr="00770C9A">
        <w:rPr>
          <w:color w:val="0000FF"/>
          <w:lang w:eastAsia="zh-CN"/>
        </w:rPr>
        <w:t>xlp</w:t>
      </w:r>
      <w:proofErr w:type="spellEnd"/>
      <w:r w:rsidRPr="00770C9A">
        <w:rPr>
          <w:color w:val="0000FF"/>
          <w:lang w:eastAsia="zh-CN"/>
        </w:rPr>
        <w:t>系</w:t>
      </w:r>
      <w:r w:rsidRPr="00770C9A">
        <w:rPr>
          <w:rFonts w:ascii="宋体" w:eastAsia="宋体" w:hAnsi="宋体" w:cs="宋体" w:hint="eastAsia"/>
          <w:color w:val="0000FF"/>
          <w:lang w:eastAsia="zh-CN"/>
        </w:rPr>
        <w:t>统</w:t>
      </w:r>
      <w:r w:rsidRPr="00770C9A">
        <w:rPr>
          <w:color w:val="0000FF"/>
          <w:lang w:eastAsia="zh-CN"/>
        </w:rPr>
        <w:t>的不同</w:t>
      </w:r>
      <w:r w:rsidRPr="00770C9A">
        <w:rPr>
          <w:rFonts w:ascii="宋体" w:eastAsia="宋体" w:hAnsi="宋体" w:cs="宋体" w:hint="eastAsia"/>
          <w:color w:val="0000FF"/>
          <w:lang w:eastAsia="zh-CN"/>
        </w:rPr>
        <w:t>层级</w:t>
      </w:r>
      <w:r w:rsidRPr="00770C9A">
        <w:rPr>
          <w:color w:val="0000FF"/>
          <w:lang w:eastAsia="zh-CN"/>
        </w:rPr>
        <w:t>－－在活</w:t>
      </w:r>
      <w:r w:rsidRPr="00770C9A">
        <w:rPr>
          <w:rFonts w:ascii="宋体" w:eastAsia="宋体" w:hAnsi="宋体" w:cs="宋体" w:hint="eastAsia"/>
          <w:color w:val="0000FF"/>
          <w:lang w:eastAsia="zh-CN"/>
        </w:rPr>
        <w:t>动过</w:t>
      </w:r>
      <w:r w:rsidRPr="00770C9A">
        <w:rPr>
          <w:color w:val="0000FF"/>
          <w:lang w:eastAsia="zh-CN"/>
        </w:rPr>
        <w:t>程中参与者在不同</w:t>
      </w:r>
      <w:r w:rsidRPr="00770C9A">
        <w:rPr>
          <w:rFonts w:ascii="宋体" w:eastAsia="宋体" w:hAnsi="宋体" w:cs="宋体" w:hint="eastAsia"/>
          <w:color w:val="0000FF"/>
          <w:lang w:eastAsia="zh-CN"/>
        </w:rPr>
        <w:t>时间</w:t>
      </w:r>
      <w:r w:rsidRPr="00770C9A">
        <w:rPr>
          <w:color w:val="0000FF"/>
          <w:lang w:eastAsia="zh-CN"/>
        </w:rPr>
        <w:t>的</w:t>
      </w:r>
      <w:r w:rsidRPr="00770C9A">
        <w:rPr>
          <w:rFonts w:ascii="宋体" w:eastAsia="宋体" w:hAnsi="宋体" w:cs="宋体" w:hint="eastAsia"/>
          <w:color w:val="0000FF"/>
          <w:lang w:eastAsia="zh-CN"/>
        </w:rPr>
        <w:t>经验对应</w:t>
      </w:r>
      <w:r w:rsidRPr="00770C9A">
        <w:rPr>
          <w:color w:val="0000FF"/>
          <w:lang w:eastAsia="zh-CN"/>
        </w:rPr>
        <w:t>于不同</w:t>
      </w:r>
      <w:r w:rsidRPr="00770C9A">
        <w:rPr>
          <w:rFonts w:ascii="宋体" w:eastAsia="宋体" w:hAnsi="宋体" w:cs="宋体" w:hint="eastAsia"/>
          <w:color w:val="0000FF"/>
          <w:lang w:eastAsia="zh-CN"/>
        </w:rPr>
        <w:t>层</w:t>
      </w:r>
      <w:r w:rsidRPr="00770C9A">
        <w:rPr>
          <w:color w:val="0000FF"/>
          <w:lang w:eastAsia="zh-CN"/>
        </w:rPr>
        <w:t>次的意</w:t>
      </w:r>
      <w:r w:rsidRPr="00770C9A">
        <w:rPr>
          <w:rFonts w:ascii="宋体" w:eastAsia="宋体" w:hAnsi="宋体" w:cs="宋体" w:hint="eastAsia"/>
          <w:color w:val="0000FF"/>
          <w:lang w:eastAsia="zh-CN"/>
        </w:rPr>
        <w:t>识</w:t>
      </w:r>
      <w:r w:rsidRPr="00770C9A">
        <w:rPr>
          <w:color w:val="0000FF"/>
          <w:lang w:eastAsia="zh-CN"/>
        </w:rPr>
        <w:t>，例如使用开源技</w:t>
      </w:r>
      <w:r w:rsidRPr="00770C9A">
        <w:rPr>
          <w:rFonts w:ascii="宋体" w:eastAsia="宋体" w:hAnsi="宋体" w:cs="宋体" w:hint="eastAsia"/>
          <w:color w:val="0000FF"/>
          <w:lang w:eastAsia="zh-CN"/>
        </w:rPr>
        <w:t>术</w:t>
      </w:r>
      <w:r w:rsidRPr="00770C9A">
        <w:rPr>
          <w:color w:val="0000FF"/>
          <w:lang w:eastAsia="zh-CN"/>
        </w:rPr>
        <w:t>开</w:t>
      </w:r>
      <w:r w:rsidRPr="00770C9A">
        <w:rPr>
          <w:rFonts w:ascii="宋体" w:eastAsia="宋体" w:hAnsi="宋体" w:cs="宋体" w:hint="eastAsia"/>
          <w:color w:val="0000FF"/>
          <w:lang w:eastAsia="zh-CN"/>
        </w:rPr>
        <w:t>发</w:t>
      </w:r>
      <w:r w:rsidRPr="00770C9A">
        <w:rPr>
          <w:color w:val="0000FF"/>
          <w:lang w:eastAsia="zh-CN"/>
        </w:rPr>
        <w:t>系</w:t>
      </w:r>
      <w:r w:rsidRPr="00770C9A">
        <w:rPr>
          <w:rFonts w:ascii="宋体" w:eastAsia="宋体" w:hAnsi="宋体" w:cs="宋体" w:hint="eastAsia"/>
          <w:color w:val="0000FF"/>
          <w:lang w:eastAsia="zh-CN"/>
        </w:rPr>
        <w:t>统组</w:t>
      </w:r>
      <w:r w:rsidRPr="00770C9A">
        <w:rPr>
          <w:color w:val="0000FF"/>
          <w:lang w:eastAsia="zh-CN"/>
        </w:rPr>
        <w:t>件，系</w:t>
      </w:r>
      <w:r w:rsidRPr="00770C9A">
        <w:rPr>
          <w:rFonts w:ascii="宋体" w:eastAsia="宋体" w:hAnsi="宋体" w:cs="宋体" w:hint="eastAsia"/>
          <w:color w:val="0000FF"/>
          <w:lang w:eastAsia="zh-CN"/>
        </w:rPr>
        <w:t>统</w:t>
      </w:r>
      <w:r w:rsidRPr="00770C9A">
        <w:rPr>
          <w:color w:val="0000FF"/>
          <w:lang w:eastAsia="zh-CN"/>
        </w:rPr>
        <w:t>集成的方法，</w:t>
      </w:r>
      <w:r w:rsidRPr="00770C9A">
        <w:rPr>
          <w:rFonts w:ascii="宋体" w:eastAsia="宋体" w:hAnsi="宋体" w:cs="宋体" w:hint="eastAsia"/>
          <w:color w:val="0000FF"/>
          <w:lang w:eastAsia="zh-CN"/>
        </w:rPr>
        <w:t>产</w:t>
      </w:r>
      <w:r w:rsidRPr="00770C9A">
        <w:rPr>
          <w:color w:val="0000FF"/>
          <w:lang w:eastAsia="zh-CN"/>
        </w:rPr>
        <w:t>品开</w:t>
      </w:r>
      <w:r w:rsidRPr="00770C9A">
        <w:rPr>
          <w:rFonts w:ascii="宋体" w:eastAsia="宋体" w:hAnsi="宋体" w:cs="宋体" w:hint="eastAsia"/>
          <w:color w:val="0000FF"/>
          <w:lang w:eastAsia="zh-CN"/>
        </w:rPr>
        <w:t>发</w:t>
      </w:r>
      <w:r w:rsidRPr="00770C9A">
        <w:rPr>
          <w:color w:val="0000FF"/>
          <w:lang w:eastAsia="zh-CN"/>
        </w:rPr>
        <w:t>流程，价</w:t>
      </w:r>
      <w:r w:rsidRPr="00770C9A">
        <w:rPr>
          <w:rFonts w:ascii="宋体" w:eastAsia="宋体" w:hAnsi="宋体" w:cs="宋体" w:hint="eastAsia"/>
          <w:color w:val="0000FF"/>
          <w:lang w:eastAsia="zh-CN"/>
        </w:rPr>
        <w:t>值发</w:t>
      </w:r>
      <w:r w:rsidRPr="00770C9A">
        <w:rPr>
          <w:color w:val="0000FF"/>
          <w:lang w:eastAsia="zh-CN"/>
        </w:rPr>
        <w:t>掘和提升。</w:t>
      </w:r>
      <w:r w:rsidR="00EB7C59" w:rsidRPr="00770C9A">
        <w:rPr>
          <w:color w:val="0000FF"/>
          <w:lang w:eastAsia="zh-CN"/>
        </w:rPr>
        <w:t xml:space="preserve">More over, </w:t>
      </w:r>
      <w:r w:rsidR="00770C9A" w:rsidRPr="00770C9A">
        <w:rPr>
          <w:color w:val="0000FF"/>
          <w:lang w:eastAsia="zh-CN"/>
        </w:rPr>
        <w:t xml:space="preserve">(In case you have ways to include this. I want to emphasize the 3rd point sent to you by </w:t>
      </w:r>
      <w:proofErr w:type="spellStart"/>
      <w:r w:rsidR="00770C9A" w:rsidRPr="00770C9A">
        <w:rPr>
          <w:color w:val="0000FF"/>
          <w:lang w:eastAsia="zh-CN"/>
        </w:rPr>
        <w:t>Jian</w:t>
      </w:r>
      <w:proofErr w:type="spellEnd"/>
      <w:r w:rsidR="00770C9A" w:rsidRPr="00770C9A">
        <w:rPr>
          <w:color w:val="0000FF"/>
          <w:lang w:eastAsia="zh-CN"/>
        </w:rPr>
        <w:t xml:space="preserve"> Nan earlier.</w:t>
      </w:r>
    </w:p>
    <w:p w14:paraId="056BEBDA" w14:textId="77777777" w:rsidR="00770C9A" w:rsidRPr="00770C9A" w:rsidRDefault="00770C9A" w:rsidP="00770C9A">
      <w:pPr>
        <w:rPr>
          <w:color w:val="0000FF"/>
          <w:lang w:eastAsia="zh-CN"/>
        </w:rPr>
      </w:pPr>
    </w:p>
    <w:p w14:paraId="1843AF5D" w14:textId="77777777" w:rsidR="00770C9A" w:rsidRPr="00770C9A" w:rsidRDefault="00770C9A" w:rsidP="00770C9A">
      <w:pPr>
        <w:rPr>
          <w:color w:val="0000FF"/>
          <w:lang w:eastAsia="zh-CN"/>
        </w:rPr>
      </w:pPr>
      <w:r w:rsidRPr="00770C9A">
        <w:rPr>
          <w:color w:val="0000FF"/>
          <w:lang w:eastAsia="zh-CN"/>
        </w:rPr>
        <w:t>3. Raising Awareness Levels</w:t>
      </w:r>
    </w:p>
    <w:p w14:paraId="77AB39DB" w14:textId="77777777" w:rsidR="00770C9A" w:rsidRPr="00770C9A" w:rsidRDefault="00770C9A" w:rsidP="00770C9A">
      <w:pPr>
        <w:rPr>
          <w:color w:val="0000FF"/>
          <w:lang w:eastAsia="zh-CN"/>
        </w:rPr>
      </w:pPr>
    </w:p>
    <w:p w14:paraId="362D01BF" w14:textId="7ED773CD" w:rsidR="00EB7C59" w:rsidRPr="00770C9A" w:rsidRDefault="00770C9A" w:rsidP="00770C9A">
      <w:pPr>
        <w:rPr>
          <w:color w:val="0000FF"/>
          <w:lang w:eastAsia="zh-CN"/>
        </w:rPr>
      </w:pPr>
      <w:r w:rsidRPr="00770C9A">
        <w:rPr>
          <w:color w:val="0000FF"/>
          <w:lang w:eastAsia="zh-CN"/>
        </w:rPr>
        <w:t xml:space="preserve">The point is really to create an intensive enough learning experience, so that people realize that they are learning, and eventually they can change their way of learning. More over, they may even identify different ways to measure the strength and degree of learning results. </w:t>
      </w:r>
      <w:proofErr w:type="gramStart"/>
      <w:r w:rsidRPr="00770C9A">
        <w:rPr>
          <w:color w:val="0000FF"/>
          <w:lang w:eastAsia="zh-CN"/>
        </w:rPr>
        <w:t>This</w:t>
      </w:r>
      <w:proofErr w:type="gramEnd"/>
      <w:r w:rsidRPr="00770C9A">
        <w:rPr>
          <w:color w:val="0000FF"/>
          <w:lang w:eastAsia="zh-CN"/>
        </w:rPr>
        <w:t xml:space="preserve"> three levels of awareness in learning, can be revealed and embedded in many activities. XLP is a way to infuse self-referencing structures into the way people and organizations process information. This is the essential way to realize consciousness, or being alive.)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proofErr w:type="gramStart"/>
      <w:r w:rsidR="00A00867" w:rsidRPr="00C705B3">
        <w:rPr>
          <w:color w:val="FF0000"/>
          <w:lang w:eastAsia="zh-TW"/>
        </w:rPr>
        <w:t>Best of all, “Product Quality Depends on its Development Processes”, as mentioned earlier.</w:t>
      </w:r>
      <w:proofErr w:type="gramEnd"/>
      <w:r w:rsidR="00A00867" w:rsidRPr="00C705B3">
        <w:rPr>
          <w:color w:val="FF0000"/>
          <w:lang w:eastAsia="zh-TW"/>
        </w:rPr>
        <w:t xml:space="preserve">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4F92D7E3" w14:textId="77777777" w:rsidR="00675B1A" w:rsidRDefault="00675B1A" w:rsidP="0002719D">
      <w:pPr>
        <w:tabs>
          <w:tab w:val="left" w:pos="490"/>
        </w:tabs>
        <w:rPr>
          <w:lang w:eastAsia="zh-TW"/>
        </w:rPr>
      </w:pPr>
    </w:p>
    <w:p w14:paraId="4F70FA6D" w14:textId="3D2A2BAA" w:rsidR="00675B1A" w:rsidRPr="00A93C93" w:rsidRDefault="00675B1A" w:rsidP="00675B1A">
      <w:pPr>
        <w:rPr>
          <w:color w:val="0000FF"/>
          <w:lang w:eastAsia="zh-TW"/>
        </w:rPr>
      </w:pPr>
      <w:r w:rsidRPr="00A93C93">
        <w:rPr>
          <w:color w:val="0000FF"/>
        </w:rPr>
        <w:t>Original Wording: (Paragraph 1.1: A bit of History on XLP)</w:t>
      </w:r>
    </w:p>
    <w:p w14:paraId="3C441512" w14:textId="77777777" w:rsidR="00675B1A" w:rsidRPr="00A93C93" w:rsidRDefault="00675B1A" w:rsidP="00675B1A">
      <w:pPr>
        <w:tabs>
          <w:tab w:val="left" w:pos="490"/>
        </w:tabs>
        <w:rPr>
          <w:color w:val="0000FF"/>
          <w:lang w:eastAsia="zh-TW"/>
        </w:rPr>
      </w:pPr>
    </w:p>
    <w:p w14:paraId="1AE9157B" w14:textId="116A3524" w:rsidR="00675B1A" w:rsidRPr="00A93C93" w:rsidRDefault="00675B1A" w:rsidP="00675B1A">
      <w:pPr>
        <w:rPr>
          <w:color w:val="0000FF"/>
          <w:lang w:eastAsia="zh-TW"/>
        </w:rPr>
      </w:pPr>
      <w:r w:rsidRPr="00A93C93">
        <w:rPr>
          <w:rFonts w:hint="eastAsia"/>
          <w:color w:val="0000FF"/>
          <w:lang w:eastAsia="zh-TW"/>
        </w:rPr>
        <w:t>Sugges</w:t>
      </w:r>
      <w:r w:rsidRPr="00A93C93">
        <w:rPr>
          <w:color w:val="0000FF"/>
          <w:lang w:eastAsia="zh-TW"/>
        </w:rPr>
        <w:t>tion:  (</w:t>
      </w:r>
      <w:r w:rsidR="007A2097" w:rsidRPr="00A93C93">
        <w:rPr>
          <w:color w:val="0000FF"/>
          <w:lang w:eastAsia="zh-TW"/>
        </w:rPr>
        <w:t>We need to talk about when and how XLP was invented. The sequence of how this appears may be adjusted.</w:t>
      </w:r>
      <w:r w:rsidRPr="00A93C93">
        <w:rPr>
          <w:color w:val="0000FF"/>
          <w:lang w:eastAsia="zh-TW"/>
        </w:rPr>
        <w:t>)</w:t>
      </w:r>
    </w:p>
    <w:p w14:paraId="740AD7E9" w14:textId="7CADDD86" w:rsidR="00675B1A" w:rsidRDefault="00B62654" w:rsidP="00675B1A">
      <w:pPr>
        <w:tabs>
          <w:tab w:val="left" w:pos="490"/>
        </w:tabs>
        <w:rPr>
          <w:lang w:eastAsia="zh-TW"/>
        </w:rPr>
      </w:pPr>
      <w:r w:rsidRPr="00A93C93">
        <w:rPr>
          <w:color w:val="0000FF"/>
          <w:lang w:eastAsia="zh-TW"/>
        </w:rPr>
        <w:t>XLP is an idea developed started in Summer 2012, at Tsinghua University, coin phrased by Prof. Ben Koo</w:t>
      </w:r>
      <w:r w:rsidR="00A61579">
        <w:rPr>
          <w:color w:val="0000FF"/>
          <w:lang w:eastAsia="zh-TW"/>
        </w:rPr>
        <w:t xml:space="preserve"> and Zhang </w:t>
      </w:r>
      <w:proofErr w:type="spellStart"/>
      <w:r w:rsidR="00A61579">
        <w:rPr>
          <w:color w:val="0000FF"/>
          <w:lang w:eastAsia="zh-TW"/>
        </w:rPr>
        <w:t>Jian</w:t>
      </w:r>
      <w:proofErr w:type="spellEnd"/>
      <w:r w:rsidR="00A61579">
        <w:rPr>
          <w:color w:val="0000FF"/>
          <w:lang w:eastAsia="zh-TW"/>
        </w:rPr>
        <w:t xml:space="preserve"> Nan, a visiting student from University of Minnesota</w:t>
      </w:r>
      <w:r w:rsidRPr="00A93C93">
        <w:rPr>
          <w:color w:val="0000FF"/>
          <w:lang w:eastAsia="zh-TW"/>
        </w:rPr>
        <w:t xml:space="preserve">. </w:t>
      </w:r>
      <w:r w:rsidR="003F6884" w:rsidRPr="00A93C93">
        <w:rPr>
          <w:color w:val="0000FF"/>
          <w:lang w:eastAsia="zh-TW"/>
        </w:rPr>
        <w:t>XLP subscribes to the</w:t>
      </w:r>
      <w:r w:rsidR="00190A3F" w:rsidRPr="00A93C93">
        <w:rPr>
          <w:color w:val="0000FF"/>
          <w:lang w:eastAsia="zh-TW"/>
        </w:rPr>
        <w:t xml:space="preserve"> idea </w:t>
      </w:r>
      <w:r w:rsidR="003F6884" w:rsidRPr="00A93C93">
        <w:rPr>
          <w:color w:val="0000FF"/>
          <w:lang w:eastAsia="zh-TW"/>
        </w:rPr>
        <w:t xml:space="preserve">instructors must work with students to design immersive learning activities together. To push the envelop of the potentials in a learning organization, this collaborative effort must be conducted in an intensive, yet methodical fashion. To scale up this learning practice, students of Industrial Engineering, apply their expertise in Process Design, invited many inter-disciplinary experts to </w:t>
      </w:r>
      <w:r w:rsidR="00E441BD" w:rsidRPr="00A93C93">
        <w:rPr>
          <w:color w:val="0000FF"/>
          <w:lang w:eastAsia="zh-TW"/>
        </w:rPr>
        <w:t>craft and validate this learning approach. The first official event took place in a 4-day Orientation Program, organizing 74 incoming master students</w:t>
      </w:r>
      <w:r w:rsidR="003F6884" w:rsidRPr="00A93C93">
        <w:rPr>
          <w:color w:val="0000FF"/>
          <w:lang w:eastAsia="zh-TW"/>
        </w:rPr>
        <w:t xml:space="preserve"> from </w:t>
      </w:r>
      <w:r w:rsidR="00E441BD" w:rsidRPr="00A93C93">
        <w:rPr>
          <w:color w:val="0000FF"/>
          <w:lang w:eastAsia="zh-TW"/>
        </w:rPr>
        <w:t xml:space="preserve">9 different academic departments to test the process. Due to its positive outcomes, </w:t>
      </w:r>
      <w:r w:rsidR="00A93C93">
        <w:rPr>
          <w:color w:val="0000FF"/>
          <w:lang w:eastAsia="zh-TW"/>
        </w:rPr>
        <w:t xml:space="preserve">we have had </w:t>
      </w:r>
      <w:r w:rsidR="00E441BD" w:rsidRPr="00A93C93">
        <w:rPr>
          <w:color w:val="0000FF"/>
          <w:lang w:eastAsia="zh-TW"/>
        </w:rPr>
        <w:t xml:space="preserve">many </w:t>
      </w:r>
      <w:r w:rsidR="00A93C93">
        <w:rPr>
          <w:color w:val="0000FF"/>
          <w:lang w:eastAsia="zh-TW"/>
        </w:rPr>
        <w:t>request</w:t>
      </w:r>
      <w:r w:rsidR="004450B9">
        <w:rPr>
          <w:color w:val="0000FF"/>
          <w:lang w:eastAsia="zh-TW"/>
        </w:rPr>
        <w:t>s</w:t>
      </w:r>
      <w:r w:rsidR="00A93C93">
        <w:rPr>
          <w:color w:val="0000FF"/>
          <w:lang w:eastAsia="zh-TW"/>
        </w:rPr>
        <w:t xml:space="preserve"> for </w:t>
      </w:r>
      <w:r w:rsidR="00E441BD" w:rsidRPr="00A93C93">
        <w:rPr>
          <w:color w:val="0000FF"/>
          <w:lang w:eastAsia="zh-TW"/>
        </w:rPr>
        <w:t xml:space="preserve">XLP </w:t>
      </w:r>
      <w:r w:rsidR="00B13EBE">
        <w:rPr>
          <w:color w:val="0000FF"/>
          <w:lang w:eastAsia="zh-TW"/>
        </w:rPr>
        <w:t>programs</w:t>
      </w:r>
      <w:r w:rsidR="00E441BD" w:rsidRPr="00A93C93">
        <w:rPr>
          <w:color w:val="0000FF"/>
          <w:lang w:eastAsia="zh-TW"/>
        </w:rPr>
        <w:t>.</w:t>
      </w:r>
      <w:r w:rsidR="003F6884">
        <w:rPr>
          <w:lang w:eastAsia="zh-TW"/>
        </w:rPr>
        <w:t xml:space="preserve"> </w:t>
      </w:r>
    </w:p>
    <w:p w14:paraId="6AF882A9" w14:textId="5F09F5F6" w:rsidR="00F95843" w:rsidRDefault="0002719D" w:rsidP="00675B1A">
      <w:pPr>
        <w:tabs>
          <w:tab w:val="left" w:pos="490"/>
        </w:tabs>
        <w:rPr>
          <w:lang w:eastAsia="zh-TW"/>
        </w:rPr>
      </w:pPr>
      <w:r>
        <w:rPr>
          <w:lang w:eastAsia="zh-TW"/>
        </w:rPr>
        <w:tab/>
      </w:r>
      <w:r w:rsidR="00675B1A">
        <w:rPr>
          <w:lang w:eastAsia="zh-TW"/>
        </w:rPr>
        <w:t xml:space="preserve"> </w:t>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w:t>
      </w:r>
      <w:proofErr w:type="gramStart"/>
      <w:r w:rsidR="00A7480A" w:rsidRPr="00A7480A">
        <w:rPr>
          <w:color w:val="FF0000"/>
          <w:lang w:eastAsia="zh-CN"/>
        </w:rPr>
        <w:t>?id</w:t>
      </w:r>
      <w:proofErr w:type="gramEnd"/>
      <w:r w:rsidR="00A7480A" w:rsidRPr="00A7480A">
        <w:rPr>
          <w:color w:val="FF0000"/>
          <w:lang w:eastAsia="zh-CN"/>
        </w:rPr>
        <w:t>=6429998%3ABlogPost%3A36738&amp;commentId=6429998%3AComment%3A36745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 xml:space="preserve">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w:t>
      </w:r>
      <w:proofErr w:type="spellStart"/>
      <w:r>
        <w:rPr>
          <w:color w:val="FF0000"/>
          <w:lang w:eastAsia="zh-TW"/>
        </w:rPr>
        <w:t>PyBossa</w:t>
      </w:r>
      <w:proofErr w:type="spellEnd"/>
      <w:r>
        <w:rPr>
          <w:color w:val="FF0000"/>
          <w:lang w:eastAsia="zh-TW"/>
        </w:rPr>
        <w:t xml:space="preserve">, or other tools, to collect the opinions of a large crowd, where they must realize that opinions at large is really a kind of believe system that might be wrong, but has profound impact on how history evolves. Therefore, they will become aware of the process of “Value </w:t>
      </w:r>
      <w:proofErr w:type="spellStart"/>
      <w:r>
        <w:rPr>
          <w:color w:val="FF0000"/>
          <w:lang w:eastAsia="zh-TW"/>
        </w:rPr>
        <w:t>Judgement</w:t>
      </w:r>
      <w:proofErr w:type="spellEnd"/>
      <w:r>
        <w:rPr>
          <w:color w:val="FF0000"/>
          <w:lang w:eastAsia="zh-TW"/>
        </w:rPr>
        <w:t xml:space="preserve">”.  All of these must take place on top of the Physical Reality. Therefore, that is the Foundational Sciences or Physical Laws the truly governs the changes in life. All XLP programs </w:t>
      </w:r>
      <w:proofErr w:type="gramStart"/>
      <w:r>
        <w:rPr>
          <w:color w:val="FF0000"/>
          <w:lang w:eastAsia="zh-TW"/>
        </w:rPr>
        <w:t>strives</w:t>
      </w:r>
      <w:proofErr w:type="gramEnd"/>
      <w:r>
        <w:rPr>
          <w:color w:val="FF0000"/>
          <w:lang w:eastAsia="zh-TW"/>
        </w:rPr>
        <w:t xml:space="preserve"> to engage students to become aware of all five layers. (We need a </w:t>
      </w:r>
      <w:proofErr w:type="gramStart"/>
      <w:r>
        <w:rPr>
          <w:color w:val="FF0000"/>
          <w:lang w:eastAsia="zh-TW"/>
        </w:rPr>
        <w:t>five layered</w:t>
      </w:r>
      <w:proofErr w:type="gramEnd"/>
      <w:r>
        <w:rPr>
          <w:color w:val="FF0000"/>
          <w:lang w:eastAsia="zh-TW"/>
        </w:rPr>
        <w:t xml:space="preserve"> </w:t>
      </w:r>
      <w:proofErr w:type="spellStart"/>
      <w:r>
        <w:rPr>
          <w:color w:val="FF0000"/>
          <w:lang w:eastAsia="zh-TW"/>
        </w:rPr>
        <w:t>digram</w:t>
      </w:r>
      <w:proofErr w:type="spellEnd"/>
      <w:r>
        <w:rPr>
          <w:color w:val="FF0000"/>
          <w:lang w:eastAsia="zh-TW"/>
        </w:rPr>
        <w:t>.)</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 xml:space="preserve">Use this opportunity to identify all the media assets, pictures, videos, and </w:t>
      </w:r>
      <w:proofErr w:type="gramStart"/>
      <w:r w:rsidR="00303C43" w:rsidRPr="00303C43">
        <w:rPr>
          <w:color w:val="FF0000"/>
          <w:lang w:eastAsia="zh-TW"/>
        </w:rPr>
        <w:t>publications, that</w:t>
      </w:r>
      <w:proofErr w:type="gramEnd"/>
      <w:r w:rsidR="00303C43" w:rsidRPr="00303C43">
        <w:rPr>
          <w:color w:val="FF0000"/>
          <w:lang w:eastAsia="zh-TW"/>
        </w:rPr>
        <w:t xml:space="preserve">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6AD39188" w14:textId="02717DF4" w:rsidR="009D7D1A" w:rsidRDefault="001E444E" w:rsidP="009D7D1A">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r w:rsidR="009D7D1A" w:rsidRPr="009D7D1A">
        <w:rPr>
          <w:color w:val="FF6600"/>
          <w:lang w:eastAsia="zh-TW"/>
        </w:rPr>
        <w:t xml:space="preserve"> </w:t>
      </w:r>
      <w:r w:rsidR="009D7D1A" w:rsidRPr="009527A9">
        <w:rPr>
          <w:color w:val="FF6600"/>
          <w:lang w:eastAsia="zh-TW"/>
        </w:rPr>
        <w:t xml:space="preserve">(Show </w:t>
      </w:r>
      <w:r w:rsidR="009D7D1A">
        <w:rPr>
          <w:color w:val="FF6600"/>
          <w:lang w:eastAsia="zh-TW"/>
        </w:rPr>
        <w:t xml:space="preserve">a video of some Lego </w:t>
      </w:r>
      <w:proofErr w:type="spellStart"/>
      <w:r w:rsidR="009D7D1A">
        <w:rPr>
          <w:color w:val="FF6600"/>
          <w:lang w:eastAsia="zh-TW"/>
        </w:rPr>
        <w:t>Mindstorm</w:t>
      </w:r>
      <w:proofErr w:type="spellEnd"/>
      <w:r w:rsidR="009D7D1A">
        <w:rPr>
          <w:color w:val="FF6600"/>
          <w:lang w:eastAsia="zh-TW"/>
        </w:rPr>
        <w:t xml:space="preserve"> project created in this class</w:t>
      </w:r>
      <w:r w:rsidR="009D7D1A" w:rsidRPr="009527A9">
        <w:rPr>
          <w:color w:val="FF6600"/>
          <w:lang w:eastAsia="zh-TW"/>
        </w:rPr>
        <w:t>.)</w:t>
      </w:r>
    </w:p>
    <w:p w14:paraId="2DF4B0BD" w14:textId="6B61E24A" w:rsidR="001E444E" w:rsidRDefault="001E444E" w:rsidP="001E444E">
      <w:pPr>
        <w:pStyle w:val="ListParagraph"/>
        <w:tabs>
          <w:tab w:val="left" w:pos="490"/>
        </w:tabs>
        <w:rPr>
          <w:lang w:eastAsia="zh-TW"/>
        </w:rPr>
      </w:pP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28783C3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r w:rsidR="00C9283D">
        <w:rPr>
          <w:lang w:eastAsia="zh-TW"/>
        </w:rPr>
        <w:t xml:space="preserve"> </w:t>
      </w:r>
      <w:r w:rsidR="00C9283D" w:rsidRPr="009527A9">
        <w:rPr>
          <w:color w:val="FF6600"/>
          <w:lang w:eastAsia="zh-TW"/>
        </w:rPr>
        <w:t>(Show pictures or diagrams for the designed artifacts in this course. Especially the most recent System Architecture Diagram that depict the structure of Learning Workflow System.)</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58177AEB" w:rsidR="009925CB" w:rsidRPr="00AE289B" w:rsidRDefault="009925CB" w:rsidP="009925CB">
      <w:pPr>
        <w:pStyle w:val="ListParagraph"/>
        <w:tabs>
          <w:tab w:val="left" w:pos="490"/>
        </w:tabs>
        <w:rPr>
          <w:color w:val="FF6600"/>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r w:rsidR="00937106">
        <w:rPr>
          <w:lang w:eastAsia="zh-TW"/>
        </w:rPr>
        <w:t xml:space="preserve"> </w:t>
      </w:r>
      <w:r w:rsidR="00937106" w:rsidRPr="00AE289B">
        <w:rPr>
          <w:color w:val="FF6600"/>
          <w:lang w:eastAsia="zh-TW"/>
        </w:rPr>
        <w:t xml:space="preserve">(A video link to </w:t>
      </w:r>
      <w:proofErr w:type="spellStart"/>
      <w:r w:rsidR="00937106" w:rsidRPr="00AE289B">
        <w:rPr>
          <w:color w:val="FF6600"/>
          <w:lang w:eastAsia="zh-TW"/>
        </w:rPr>
        <w:t>Youtube</w:t>
      </w:r>
      <w:proofErr w:type="spellEnd"/>
      <w:r w:rsidR="00937106" w:rsidRPr="00AE289B">
        <w:rPr>
          <w:color w:val="FF6600"/>
          <w:lang w:eastAsia="zh-TW"/>
        </w:rPr>
        <w:t>: http://www.youtube.com/watch?v=SHswPsntuRc)</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proofErr w:type="gramStart"/>
      <w:r w:rsidRPr="00F45EC8">
        <w:rPr>
          <w:color w:val="FF0000"/>
          <w:lang w:eastAsia="zh-TW"/>
        </w:rPr>
        <w:t>An</w:t>
      </w:r>
      <w:proofErr w:type="gramEnd"/>
      <w:r w:rsidRPr="00F45EC8">
        <w:rPr>
          <w:color w:val="FF0000"/>
          <w:lang w:eastAsia="zh-TW"/>
        </w:rPr>
        <w:t xml:space="preserve">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 xml:space="preserve">Beijing Petro Chemical </w:t>
      </w:r>
      <w:proofErr w:type="spellStart"/>
      <w:r w:rsidRPr="00F45EC8">
        <w:rPr>
          <w:color w:val="FF0000"/>
          <w:lang w:eastAsia="zh-TW"/>
        </w:rPr>
        <w:t>Universiy</w:t>
      </w:r>
      <w:proofErr w:type="spellEnd"/>
      <w:r w:rsidRPr="00F45EC8">
        <w:rPr>
          <w:color w:val="FF0000"/>
          <w:lang w:eastAsia="zh-TW"/>
        </w:rPr>
        <w:t>.</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 xml:space="preserve">A social service completely conducted by students. Invited more than 500 people around China, including </w:t>
      </w:r>
      <w:proofErr w:type="spellStart"/>
      <w:r w:rsidR="00DF7C52" w:rsidRPr="00F45EC8">
        <w:rPr>
          <w:color w:val="FF0000"/>
          <w:lang w:eastAsia="zh-TW"/>
        </w:rPr>
        <w:t>XiCheJian</w:t>
      </w:r>
      <w:proofErr w:type="spellEnd"/>
      <w:r w:rsidR="00DF7C52" w:rsidRPr="00F45EC8">
        <w:rPr>
          <w:color w:val="FF0000"/>
          <w:lang w:eastAsia="zh-TW"/>
        </w:rPr>
        <w:t xml:space="preserve">, and </w:t>
      </w:r>
      <w:proofErr w:type="spellStart"/>
      <w:r w:rsidR="00DF7C52" w:rsidRPr="00F45EC8">
        <w:rPr>
          <w:color w:val="FF0000"/>
          <w:lang w:eastAsia="zh-TW"/>
        </w:rPr>
        <w:t>MakeSense</w:t>
      </w:r>
      <w:proofErr w:type="spellEnd"/>
      <w:r w:rsidR="00DF7C52" w:rsidRPr="00F45EC8">
        <w:rPr>
          <w:color w:val="FF0000"/>
          <w:lang w:eastAsia="zh-TW"/>
        </w:rPr>
        <w:t xml:space="preserve"> from Shanghai. </w:t>
      </w:r>
      <w:proofErr w:type="gramStart"/>
      <w:r w:rsidR="00DF7C52" w:rsidRPr="00F45EC8">
        <w:rPr>
          <w:color w:val="FF0000"/>
          <w:lang w:eastAsia="zh-TW"/>
        </w:rPr>
        <w:t>Displayed many existing projects, and conducted many on-site workshop during that day.</w:t>
      </w:r>
      <w:proofErr w:type="gramEnd"/>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 xml:space="preserve">The skill to manage time is one of the most essential </w:t>
      </w:r>
      <w:proofErr w:type="gramStart"/>
      <w:r w:rsidRPr="00CE2A18">
        <w:rPr>
          <w:color w:val="FF0000"/>
        </w:rPr>
        <w:t>skill</w:t>
      </w:r>
      <w:proofErr w:type="gramEnd"/>
      <w:r w:rsidRPr="00CE2A18">
        <w:rPr>
          <w:color w:val="FF0000"/>
        </w:rPr>
        <w:t xml:space="preserve"> for personal or group success. Here, we have the mechanism to help people in groups learn that in depth. We use Version Control System such as </w:t>
      </w:r>
      <w:proofErr w:type="spellStart"/>
      <w:proofErr w:type="gramStart"/>
      <w:r w:rsidRPr="00CE2A18">
        <w:rPr>
          <w:color w:val="FF0000"/>
        </w:rPr>
        <w:t>GitHub</w:t>
      </w:r>
      <w:proofErr w:type="spellEnd"/>
      <w:r w:rsidRPr="00CE2A18">
        <w:rPr>
          <w:color w:val="FF0000"/>
        </w:rPr>
        <w:t>,</w:t>
      </w:r>
      <w:proofErr w:type="gramEnd"/>
      <w:r w:rsidRPr="00CE2A18">
        <w:rPr>
          <w:color w:val="FF0000"/>
        </w:rPr>
        <w:t xml:space="preserve"> to record the incremental progression of their Work-In-Process results, precisely identify the times of their incremental progression. We also use Dynamic Project Control, to plan for the future activities or intended </w:t>
      </w:r>
      <w:proofErr w:type="gramStart"/>
      <w:r w:rsidRPr="00CE2A18">
        <w:rPr>
          <w:color w:val="FF0000"/>
        </w:rPr>
        <w:t>outcomes, that</w:t>
      </w:r>
      <w:proofErr w:type="gramEnd"/>
      <w:r w:rsidRPr="00CE2A18">
        <w:rPr>
          <w:color w:val="FF0000"/>
        </w:rPr>
        <w:t xml:space="preserve"> are to be created during a planned period of time. These two </w:t>
      </w:r>
      <w:proofErr w:type="gramStart"/>
      <w:r w:rsidRPr="00CE2A18">
        <w:rPr>
          <w:color w:val="FF0000"/>
        </w:rPr>
        <w:t>instruments,</w:t>
      </w:r>
      <w:proofErr w:type="gramEnd"/>
      <w:r w:rsidRPr="00CE2A18">
        <w:rPr>
          <w:color w:val="FF0000"/>
        </w:rPr>
        <w:t xml:space="preserve">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w:t>
      </w:r>
      <w:proofErr w:type="gramStart"/>
      <w:r w:rsidRPr="00CE2A18">
        <w:rPr>
          <w:color w:val="FF0000"/>
        </w:rPr>
        <w:t>an</w:t>
      </w:r>
      <w:proofErr w:type="gramEnd"/>
      <w:r w:rsidRPr="00CE2A18">
        <w:rPr>
          <w:color w:val="FF0000"/>
        </w:rPr>
        <w:t xml:space="preserve"> Workflow Approach. Using Dynamic Project Control (DPC) as a planning mechanism. Then, we have all users register their incremental progression using Blog Entries, and Version Control Systems such as </w:t>
      </w:r>
      <w:proofErr w:type="spellStart"/>
      <w:r w:rsidRPr="00CE2A18">
        <w:rPr>
          <w:color w:val="FF0000"/>
        </w:rPr>
        <w:t>GitHub</w:t>
      </w:r>
      <w:proofErr w:type="spellEnd"/>
      <w:r w:rsidRPr="00CE2A18">
        <w:rPr>
          <w:color w:val="FF0000"/>
        </w:rPr>
        <w:t xml:space="preserve">.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w:t>
      </w:r>
      <w:proofErr w:type="gramStart"/>
      <w:r>
        <w:t>the explain</w:t>
      </w:r>
      <w:proofErr w:type="gramEnd"/>
      <w:r>
        <w:t xml:space="preserve">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 xml:space="preserve">To fully enjoy a unique learning experience, relevant rituals and activities must be able to truly touch the hearts of the students. XLP takes great care to design stages of ceremonial mechanisms to ensure that </w:t>
      </w:r>
      <w:proofErr w:type="gramStart"/>
      <w:r>
        <w:rPr>
          <w:color w:val="FF0000"/>
        </w:rPr>
        <w:t>students receives</w:t>
      </w:r>
      <w:proofErr w:type="gramEnd"/>
      <w:r>
        <w:rPr>
          <w:color w:val="FF0000"/>
        </w:rPr>
        <w:t xml:space="preserve"> the message of the intended learning </w:t>
      </w:r>
      <w:proofErr w:type="spellStart"/>
      <w:r>
        <w:rPr>
          <w:color w:val="FF0000"/>
        </w:rPr>
        <w:t>outcome:”Work</w:t>
      </w:r>
      <w:proofErr w:type="spellEnd"/>
      <w:r>
        <w:rPr>
          <w:color w:val="FF0000"/>
        </w:rPr>
        <w:t xml:space="preserve">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24A32BC3"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3E5623" w:rsidRPr="00363C8E">
        <w:rPr>
          <w:color w:val="FF6600"/>
          <w:lang w:eastAsia="zh-CN"/>
        </w:rPr>
        <w:t xml:space="preserve">Founder of </w:t>
      </w:r>
      <w:proofErr w:type="spellStart"/>
      <w:r w:rsidR="003E5623" w:rsidRPr="00363C8E">
        <w:rPr>
          <w:color w:val="FF6600"/>
          <w:lang w:eastAsia="zh-CN"/>
        </w:rPr>
        <w:t>Hackerspaces</w:t>
      </w:r>
      <w:proofErr w:type="spellEnd"/>
      <w:r w:rsidR="003E5623" w:rsidRPr="00363C8E">
        <w:rPr>
          <w:color w:val="FF6600"/>
          <w:lang w:eastAsia="zh-CN"/>
        </w:rPr>
        <w:t xml:space="preserve">, Mitch Altman, </w:t>
      </w:r>
      <w:r w:rsidR="00A235C5" w:rsidRPr="00363C8E">
        <w:rPr>
          <w:color w:val="FF6600"/>
          <w:lang w:eastAsia="zh-CN"/>
        </w:rPr>
        <w:t xml:space="preserve">Open Source Ecology Founder, Dr. </w:t>
      </w:r>
      <w:proofErr w:type="spellStart"/>
      <w:proofErr w:type="gramStart"/>
      <w:r w:rsidR="00A235C5" w:rsidRPr="00363C8E">
        <w:rPr>
          <w:color w:val="FF6600"/>
          <w:lang w:eastAsia="zh-CN"/>
        </w:rPr>
        <w:t>Marcin</w:t>
      </w:r>
      <w:proofErr w:type="spellEnd"/>
      <w:r w:rsidR="00A235C5" w:rsidRPr="00363C8E">
        <w:rPr>
          <w:color w:val="FF6600"/>
          <w:lang w:eastAsia="zh-CN"/>
        </w:rPr>
        <w:t xml:space="preserve"> </w:t>
      </w:r>
      <w:proofErr w:type="spellStart"/>
      <w:r w:rsidR="00431DEA" w:rsidRPr="00363C8E">
        <w:rPr>
          <w:color w:val="FF6600"/>
          <w:lang w:eastAsia="zh-CN"/>
        </w:rPr>
        <w:t>Jak</w:t>
      </w:r>
      <w:r w:rsidR="002647BB" w:rsidRPr="00363C8E">
        <w:rPr>
          <w:color w:val="FF6600"/>
          <w:lang w:eastAsia="zh-CN"/>
        </w:rPr>
        <w:t>ubaoski</w:t>
      </w:r>
      <w:proofErr w:type="spellEnd"/>
      <w:r w:rsidR="00A235C5" w:rsidRPr="00363C8E">
        <w:rPr>
          <w:color w:val="FF6600"/>
          <w:lang w:eastAsia="zh-CN"/>
        </w:rPr>
        <w:t xml:space="preserve">, </w:t>
      </w:r>
      <w:r w:rsidR="006054E1">
        <w:rPr>
          <w:color w:val="FF6600"/>
          <w:lang w:eastAsia="zh-CN"/>
        </w:rPr>
        <w:t xml:space="preserve">Wolfram Research’s Dr. Christopher Carlson, </w:t>
      </w:r>
      <w:r w:rsidR="00B02697">
        <w:rPr>
          <w:color w:val="FF6600"/>
          <w:lang w:eastAsia="zh-CN"/>
        </w:rPr>
        <w:t xml:space="preserve">Luc </w:t>
      </w:r>
      <w:proofErr w:type="spellStart"/>
      <w:r w:rsidR="00B02697">
        <w:rPr>
          <w:color w:val="FF6600"/>
          <w:lang w:eastAsia="zh-CN"/>
        </w:rPr>
        <w:t>Barthlet</w:t>
      </w:r>
      <w:proofErr w:type="spellEnd"/>
      <w:r w:rsidR="00B02697">
        <w:rPr>
          <w:color w:val="FF6600"/>
          <w:lang w:eastAsia="zh-CN"/>
        </w:rPr>
        <w:t xml:space="preserve">, </w:t>
      </w:r>
      <w:r w:rsidR="009D55FF">
        <w:rPr>
          <w:color w:val="FF6600"/>
          <w:lang w:eastAsia="zh-CN"/>
        </w:rPr>
        <w:t xml:space="preserve">New American Foundation’s Emily Parker, </w:t>
      </w:r>
      <w:r w:rsidR="00081DCA">
        <w:rPr>
          <w:rFonts w:hint="eastAsia"/>
          <w:lang w:eastAsia="zh-CN"/>
        </w:rPr>
        <w:t>an</w:t>
      </w:r>
      <w:r w:rsidR="00081DCA">
        <w:rPr>
          <w:lang w:eastAsia="zh-CN"/>
        </w:rPr>
        <w:t>d many others.</w:t>
      </w:r>
      <w:proofErr w:type="gramEnd"/>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8BB"/>
    <w:rsid w:val="00123D05"/>
    <w:rsid w:val="001250F9"/>
    <w:rsid w:val="001253F0"/>
    <w:rsid w:val="00125B32"/>
    <w:rsid w:val="00126F74"/>
    <w:rsid w:val="001272D4"/>
    <w:rsid w:val="001327D4"/>
    <w:rsid w:val="0014336A"/>
    <w:rsid w:val="00152447"/>
    <w:rsid w:val="00162C54"/>
    <w:rsid w:val="00171528"/>
    <w:rsid w:val="001873EA"/>
    <w:rsid w:val="00190027"/>
    <w:rsid w:val="00190A3F"/>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7BB"/>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C8E"/>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E5623"/>
    <w:rsid w:val="003F2188"/>
    <w:rsid w:val="003F5C5D"/>
    <w:rsid w:val="003F6884"/>
    <w:rsid w:val="003F7376"/>
    <w:rsid w:val="00401A00"/>
    <w:rsid w:val="004108B6"/>
    <w:rsid w:val="00414F95"/>
    <w:rsid w:val="0041590F"/>
    <w:rsid w:val="004167A3"/>
    <w:rsid w:val="00431DEA"/>
    <w:rsid w:val="00432146"/>
    <w:rsid w:val="00432382"/>
    <w:rsid w:val="00444B73"/>
    <w:rsid w:val="004450B9"/>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D6B89"/>
    <w:rsid w:val="004E79FF"/>
    <w:rsid w:val="004F2F13"/>
    <w:rsid w:val="004F6761"/>
    <w:rsid w:val="00504834"/>
    <w:rsid w:val="005056E8"/>
    <w:rsid w:val="00506631"/>
    <w:rsid w:val="005103E8"/>
    <w:rsid w:val="0051040E"/>
    <w:rsid w:val="00511D62"/>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054E1"/>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B1A"/>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C9A"/>
    <w:rsid w:val="00770D1A"/>
    <w:rsid w:val="0077580E"/>
    <w:rsid w:val="00780EFC"/>
    <w:rsid w:val="00781F60"/>
    <w:rsid w:val="00783F92"/>
    <w:rsid w:val="00787A81"/>
    <w:rsid w:val="00791AD4"/>
    <w:rsid w:val="0079352D"/>
    <w:rsid w:val="007A1848"/>
    <w:rsid w:val="007A2097"/>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37106"/>
    <w:rsid w:val="0094163F"/>
    <w:rsid w:val="009421AB"/>
    <w:rsid w:val="009423FC"/>
    <w:rsid w:val="009527A9"/>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55FF"/>
    <w:rsid w:val="009D697B"/>
    <w:rsid w:val="009D7D1A"/>
    <w:rsid w:val="009E37E0"/>
    <w:rsid w:val="009E67AF"/>
    <w:rsid w:val="009F0B98"/>
    <w:rsid w:val="009F35B7"/>
    <w:rsid w:val="00A00867"/>
    <w:rsid w:val="00A1104D"/>
    <w:rsid w:val="00A11F47"/>
    <w:rsid w:val="00A11FB9"/>
    <w:rsid w:val="00A14B5F"/>
    <w:rsid w:val="00A17792"/>
    <w:rsid w:val="00A17885"/>
    <w:rsid w:val="00A235C5"/>
    <w:rsid w:val="00A35653"/>
    <w:rsid w:val="00A4294D"/>
    <w:rsid w:val="00A4423B"/>
    <w:rsid w:val="00A44C12"/>
    <w:rsid w:val="00A53546"/>
    <w:rsid w:val="00A5410C"/>
    <w:rsid w:val="00A575CD"/>
    <w:rsid w:val="00A603CB"/>
    <w:rsid w:val="00A61579"/>
    <w:rsid w:val="00A6389C"/>
    <w:rsid w:val="00A67F20"/>
    <w:rsid w:val="00A70DD2"/>
    <w:rsid w:val="00A71AC7"/>
    <w:rsid w:val="00A7480A"/>
    <w:rsid w:val="00A753CC"/>
    <w:rsid w:val="00A76170"/>
    <w:rsid w:val="00A77FE2"/>
    <w:rsid w:val="00A86B86"/>
    <w:rsid w:val="00A9007E"/>
    <w:rsid w:val="00A919D2"/>
    <w:rsid w:val="00A9316B"/>
    <w:rsid w:val="00A93C93"/>
    <w:rsid w:val="00AA3754"/>
    <w:rsid w:val="00AB08F0"/>
    <w:rsid w:val="00AB4259"/>
    <w:rsid w:val="00AC2077"/>
    <w:rsid w:val="00AC2737"/>
    <w:rsid w:val="00AC288B"/>
    <w:rsid w:val="00AC7AE5"/>
    <w:rsid w:val="00AD082E"/>
    <w:rsid w:val="00AD1900"/>
    <w:rsid w:val="00AD2748"/>
    <w:rsid w:val="00AD7FB4"/>
    <w:rsid w:val="00AE1417"/>
    <w:rsid w:val="00AE264E"/>
    <w:rsid w:val="00AE289B"/>
    <w:rsid w:val="00AE75D6"/>
    <w:rsid w:val="00AF446B"/>
    <w:rsid w:val="00AF480D"/>
    <w:rsid w:val="00B02697"/>
    <w:rsid w:val="00B101DB"/>
    <w:rsid w:val="00B11BBF"/>
    <w:rsid w:val="00B12516"/>
    <w:rsid w:val="00B13EBE"/>
    <w:rsid w:val="00B15300"/>
    <w:rsid w:val="00B25E5C"/>
    <w:rsid w:val="00B3136C"/>
    <w:rsid w:val="00B4192D"/>
    <w:rsid w:val="00B46A85"/>
    <w:rsid w:val="00B56AD9"/>
    <w:rsid w:val="00B62654"/>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283D"/>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441BD"/>
    <w:rsid w:val="00E649BE"/>
    <w:rsid w:val="00E718CF"/>
    <w:rsid w:val="00E73E92"/>
    <w:rsid w:val="00E836E5"/>
    <w:rsid w:val="00E83DF9"/>
    <w:rsid w:val="00E90A21"/>
    <w:rsid w:val="00E97DF7"/>
    <w:rsid w:val="00EB227F"/>
    <w:rsid w:val="00EB2B4E"/>
    <w:rsid w:val="00EB7C59"/>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3561</Words>
  <Characters>20300</Characters>
  <Application>Microsoft Macintosh Word</Application>
  <DocSecurity>0</DocSecurity>
  <Lines>169</Lines>
  <Paragraphs>47</Paragraphs>
  <ScaleCrop>false</ScaleCrop>
  <Company>Tsinghua University</Company>
  <LinksUpToDate>false</LinksUpToDate>
  <CharactersWithSpaces>23814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718</cp:revision>
  <dcterms:created xsi:type="dcterms:W3CDTF">2012-10-16T04:02:00Z</dcterms:created>
  <dcterms:modified xsi:type="dcterms:W3CDTF">2012-10-19T10:14:00Z</dcterms:modified>
</cp:coreProperties>
</file>