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CF484" w14:textId="77777777" w:rsidR="00D43508" w:rsidRPr="00A41E73" w:rsidRDefault="0088014D" w:rsidP="0088014D">
      <w:pPr>
        <w:jc w:val="center"/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int="eastAsia"/>
        </w:rPr>
        <w:t>Toyhouse</w:t>
      </w:r>
      <w:r w:rsidRPr="00A41E73">
        <w:rPr>
          <w:rFonts w:ascii="华文黑体" w:eastAsia="华文黑体" w:hint="eastAsia"/>
          <w:lang w:eastAsia="zh-CN"/>
        </w:rPr>
        <w:t>工作室</w:t>
      </w:r>
      <w:r w:rsidRPr="00A41E73">
        <w:rPr>
          <w:rFonts w:ascii="华文黑体" w:eastAsia="华文黑体" w:hAnsi="宋体" w:cs="宋体" w:hint="eastAsia"/>
          <w:lang w:eastAsia="zh-CN"/>
        </w:rPr>
        <w:t>简</w:t>
      </w:r>
      <w:r w:rsidRPr="00A41E73">
        <w:rPr>
          <w:rFonts w:ascii="华文黑体" w:eastAsia="华文黑体" w:hint="eastAsia"/>
          <w:lang w:eastAsia="zh-CN"/>
        </w:rPr>
        <w:t>介</w:t>
      </w:r>
    </w:p>
    <w:p w14:paraId="36FD39F4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int="eastAsia"/>
          <w:lang w:eastAsia="zh-CN"/>
        </w:rPr>
        <w:t>Toyhouse工作室——成立于2006年</w:t>
      </w:r>
    </w:p>
    <w:p w14:paraId="2BA522DA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Ansi="宋体" w:cs="宋体" w:hint="eastAsia"/>
          <w:lang w:eastAsia="zh-CN"/>
        </w:rPr>
        <w:t>创</w:t>
      </w:r>
      <w:r w:rsidRPr="00A41E73">
        <w:rPr>
          <w:rFonts w:ascii="华文黑体" w:eastAsia="华文黑体" w:hint="eastAsia"/>
          <w:lang w:eastAsia="zh-CN"/>
        </w:rPr>
        <w:t>始人：</w:t>
      </w:r>
      <w:r w:rsidRPr="00A41E73">
        <w:rPr>
          <w:rFonts w:ascii="华文黑体" w:eastAsia="华文黑体" w:hAnsi="宋体" w:cs="宋体" w:hint="eastAsia"/>
          <w:lang w:eastAsia="zh-CN"/>
        </w:rPr>
        <w:t>顾</w:t>
      </w:r>
      <w:r w:rsidRPr="00A41E73">
        <w:rPr>
          <w:rFonts w:ascii="华文黑体" w:eastAsia="华文黑体" w:hint="eastAsia"/>
          <w:lang w:eastAsia="zh-CN"/>
        </w:rPr>
        <w:t>学雍 教授</w:t>
      </w:r>
    </w:p>
    <w:p w14:paraId="7936DD88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int="eastAsia"/>
          <w:lang w:eastAsia="zh-CN"/>
        </w:rPr>
        <w:t>地点：北京 清</w:t>
      </w:r>
      <w:r w:rsidRPr="00A41E73">
        <w:rPr>
          <w:rFonts w:ascii="华文黑体" w:eastAsia="华文黑体" w:hAnsi="宋体" w:cs="宋体" w:hint="eastAsia"/>
          <w:lang w:eastAsia="zh-CN"/>
        </w:rPr>
        <w:t>华</w:t>
      </w:r>
      <w:r w:rsidRPr="00A41E73">
        <w:rPr>
          <w:rFonts w:ascii="华文黑体" w:eastAsia="华文黑体" w:hint="eastAsia"/>
          <w:lang w:eastAsia="zh-CN"/>
        </w:rPr>
        <w:t>大学</w:t>
      </w:r>
    </w:p>
    <w:p w14:paraId="48DDB087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</w:p>
    <w:p w14:paraId="7BCA0A46" w14:textId="377FDE5E" w:rsidR="0088014D" w:rsidRPr="009E36CE" w:rsidRDefault="0088014D">
      <w:pPr>
        <w:rPr>
          <w:rFonts w:ascii="华文黑体" w:eastAsia="华文黑体" w:hint="eastAsia"/>
          <w:b/>
          <w:lang w:eastAsia="zh-CN"/>
        </w:rPr>
      </w:pPr>
      <w:r w:rsidRPr="009E36CE">
        <w:rPr>
          <w:rFonts w:ascii="华文黑体" w:eastAsia="华文黑体" w:hint="eastAsia"/>
          <w:b/>
          <w:lang w:eastAsia="zh-CN"/>
        </w:rPr>
        <w:t>Toyhouse理念</w:t>
      </w:r>
    </w:p>
    <w:p w14:paraId="10F91A77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int="eastAsia"/>
          <w:lang w:eastAsia="zh-CN"/>
        </w:rPr>
        <w:t>找到自己的方向，而后寻求身边的资源；</w:t>
      </w:r>
    </w:p>
    <w:p w14:paraId="3F790499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int="eastAsia"/>
          <w:lang w:eastAsia="zh-CN"/>
        </w:rPr>
        <w:t>在实践中学习知识，在积累知识中总结方法；</w:t>
      </w:r>
    </w:p>
    <w:p w14:paraId="20B2325B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int="eastAsia"/>
          <w:lang w:eastAsia="zh-CN"/>
        </w:rPr>
        <w:t>保持活跃的思维、冷静的头脑；</w:t>
      </w:r>
    </w:p>
    <w:p w14:paraId="6F429F8D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int="eastAsia"/>
          <w:lang w:eastAsia="zh-CN"/>
        </w:rPr>
        <w:t>做到自己满意，</w:t>
      </w:r>
      <w:bookmarkStart w:id="0" w:name="_GoBack"/>
      <w:bookmarkEnd w:id="0"/>
      <w:r w:rsidRPr="00A41E73">
        <w:rPr>
          <w:rFonts w:ascii="华文黑体" w:eastAsia="华文黑体" w:hint="eastAsia"/>
          <w:lang w:eastAsia="zh-CN"/>
        </w:rPr>
        <w:t>令自己信服，才肯同他人分享；</w:t>
      </w:r>
    </w:p>
    <w:p w14:paraId="69EFE3E6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int="eastAsia"/>
          <w:lang w:eastAsia="zh-CN"/>
        </w:rPr>
        <w:t>……</w:t>
      </w:r>
    </w:p>
    <w:p w14:paraId="3306DC2D" w14:textId="77777777" w:rsidR="0088014D" w:rsidRPr="00A41E73" w:rsidRDefault="0088014D">
      <w:pPr>
        <w:rPr>
          <w:rFonts w:ascii="华文黑体" w:eastAsia="华文黑体" w:hint="eastAsia"/>
          <w:lang w:eastAsia="zh-CN"/>
        </w:rPr>
      </w:pPr>
    </w:p>
    <w:p w14:paraId="29397A39" w14:textId="77777777" w:rsidR="0088014D" w:rsidRPr="009E36CE" w:rsidRDefault="0088014D">
      <w:pPr>
        <w:rPr>
          <w:rFonts w:ascii="华文黑体" w:eastAsia="华文黑体" w:hint="eastAsia"/>
          <w:b/>
          <w:lang w:eastAsia="zh-CN"/>
        </w:rPr>
      </w:pPr>
      <w:r w:rsidRPr="009E36CE">
        <w:rPr>
          <w:rFonts w:ascii="华文黑体" w:eastAsia="华文黑体" w:hint="eastAsia"/>
          <w:b/>
          <w:lang w:eastAsia="zh-CN"/>
        </w:rPr>
        <w:t>Toyhouse理念的载体</w:t>
      </w:r>
    </w:p>
    <w:p w14:paraId="2BD82170" w14:textId="77777777" w:rsidR="009B36AA" w:rsidRPr="00A41E73" w:rsidRDefault="009B36AA">
      <w:pPr>
        <w:rPr>
          <w:rFonts w:ascii="华文黑体" w:eastAsia="华文黑体" w:hint="eastAsia"/>
          <w:lang w:eastAsia="zh-CN"/>
        </w:rPr>
      </w:pPr>
    </w:p>
    <w:tbl>
      <w:tblPr>
        <w:tblStyle w:val="TableGrid"/>
        <w:tblW w:w="10309" w:type="dxa"/>
        <w:tblInd w:w="-601" w:type="dxa"/>
        <w:tblLook w:val="04A0" w:firstRow="1" w:lastRow="0" w:firstColumn="1" w:lastColumn="0" w:noHBand="0" w:noVBand="1"/>
      </w:tblPr>
      <w:tblGrid>
        <w:gridCol w:w="1869"/>
        <w:gridCol w:w="2266"/>
        <w:gridCol w:w="3017"/>
        <w:gridCol w:w="3157"/>
      </w:tblGrid>
      <w:tr w:rsidR="009B36AA" w:rsidRPr="00A41E73" w14:paraId="5D22748C" w14:textId="77777777" w:rsidTr="00F47AD3">
        <w:tc>
          <w:tcPr>
            <w:tcW w:w="1869" w:type="dxa"/>
          </w:tcPr>
          <w:p w14:paraId="3C7CB711" w14:textId="6A086467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2266" w:type="dxa"/>
          </w:tcPr>
          <w:p w14:paraId="1787E85C" w14:textId="5F00BC5A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主办单位</w:t>
            </w:r>
          </w:p>
        </w:tc>
        <w:tc>
          <w:tcPr>
            <w:tcW w:w="3017" w:type="dxa"/>
          </w:tcPr>
          <w:p w14:paraId="53E9DB73" w14:textId="3A46A8FB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课程名</w:t>
            </w:r>
          </w:p>
        </w:tc>
        <w:tc>
          <w:tcPr>
            <w:tcW w:w="3157" w:type="dxa"/>
          </w:tcPr>
          <w:p w14:paraId="4D94B64D" w14:textId="0296BA76" w:rsidR="009B36AA" w:rsidRPr="00A41E73" w:rsidRDefault="009B36AA" w:rsidP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课程属性</w:t>
            </w:r>
          </w:p>
        </w:tc>
      </w:tr>
      <w:tr w:rsidR="009B36AA" w:rsidRPr="00A41E73" w14:paraId="6A4EA020" w14:textId="77777777" w:rsidTr="00F47AD3">
        <w:tc>
          <w:tcPr>
            <w:tcW w:w="1869" w:type="dxa"/>
          </w:tcPr>
          <w:p w14:paraId="0DDE1121" w14:textId="2FC314F9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2006年-2008年</w:t>
            </w:r>
          </w:p>
        </w:tc>
        <w:tc>
          <w:tcPr>
            <w:tcW w:w="2266" w:type="dxa"/>
          </w:tcPr>
          <w:p w14:paraId="1B43D28B" w14:textId="4928440B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清华大学 工业工程系</w:t>
            </w:r>
          </w:p>
        </w:tc>
        <w:tc>
          <w:tcPr>
            <w:tcW w:w="3017" w:type="dxa"/>
          </w:tcPr>
          <w:p w14:paraId="13F0D0C7" w14:textId="32594B1A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《数据结构与算法》</w:t>
            </w:r>
          </w:p>
        </w:tc>
        <w:tc>
          <w:tcPr>
            <w:tcW w:w="3157" w:type="dxa"/>
          </w:tcPr>
          <w:p w14:paraId="18861133" w14:textId="77AA0D42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本科生必修课，3学分</w:t>
            </w:r>
          </w:p>
        </w:tc>
      </w:tr>
      <w:tr w:rsidR="009B36AA" w:rsidRPr="00A41E73" w14:paraId="7A082ECD" w14:textId="77777777" w:rsidTr="00F47AD3">
        <w:tc>
          <w:tcPr>
            <w:tcW w:w="1869" w:type="dxa"/>
          </w:tcPr>
          <w:p w14:paraId="6561DA38" w14:textId="23FAE4AD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2006年-2009年</w:t>
            </w:r>
          </w:p>
        </w:tc>
        <w:tc>
          <w:tcPr>
            <w:tcW w:w="2266" w:type="dxa"/>
          </w:tcPr>
          <w:p w14:paraId="75FD7413" w14:textId="334F004C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清华大学 工业工程系</w:t>
            </w:r>
          </w:p>
        </w:tc>
        <w:tc>
          <w:tcPr>
            <w:tcW w:w="3017" w:type="dxa"/>
          </w:tcPr>
          <w:p w14:paraId="175B0606" w14:textId="473759F1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《数据库原理》</w:t>
            </w:r>
          </w:p>
        </w:tc>
        <w:tc>
          <w:tcPr>
            <w:tcW w:w="3157" w:type="dxa"/>
          </w:tcPr>
          <w:p w14:paraId="1A02D73E" w14:textId="606B3120" w:rsidR="009B36AA" w:rsidRPr="00A41E73" w:rsidRDefault="009B36AA" w:rsidP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本科生必修课，3学分</w:t>
            </w:r>
          </w:p>
        </w:tc>
      </w:tr>
      <w:tr w:rsidR="009B36AA" w:rsidRPr="00A41E73" w14:paraId="16C177FC" w14:textId="77777777" w:rsidTr="00F47AD3">
        <w:tc>
          <w:tcPr>
            <w:tcW w:w="1869" w:type="dxa"/>
          </w:tcPr>
          <w:p w14:paraId="26F8610A" w14:textId="36959BA3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2006年-2013年</w:t>
            </w:r>
          </w:p>
        </w:tc>
        <w:tc>
          <w:tcPr>
            <w:tcW w:w="2266" w:type="dxa"/>
          </w:tcPr>
          <w:p w14:paraId="21AF8C22" w14:textId="4D7BE2F9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清华大学 工业工程系</w:t>
            </w:r>
          </w:p>
        </w:tc>
        <w:tc>
          <w:tcPr>
            <w:tcW w:w="3017" w:type="dxa"/>
          </w:tcPr>
          <w:p w14:paraId="669FC379" w14:textId="0316E916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《全球化制造战略》</w:t>
            </w:r>
          </w:p>
        </w:tc>
        <w:tc>
          <w:tcPr>
            <w:tcW w:w="3157" w:type="dxa"/>
          </w:tcPr>
          <w:p w14:paraId="1A1AF1F8" w14:textId="4D5A8775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硕士生国际项目，2学分</w:t>
            </w:r>
          </w:p>
        </w:tc>
      </w:tr>
      <w:tr w:rsidR="009B36AA" w:rsidRPr="00A41E73" w14:paraId="196E7E4C" w14:textId="77777777" w:rsidTr="00F47AD3">
        <w:tc>
          <w:tcPr>
            <w:tcW w:w="1869" w:type="dxa"/>
          </w:tcPr>
          <w:p w14:paraId="1724BD90" w14:textId="33703D0B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2012年至今</w:t>
            </w:r>
          </w:p>
        </w:tc>
        <w:tc>
          <w:tcPr>
            <w:tcW w:w="2266" w:type="dxa"/>
          </w:tcPr>
          <w:p w14:paraId="77890DEF" w14:textId="1278A355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清华大学 研究生院</w:t>
            </w:r>
          </w:p>
        </w:tc>
        <w:tc>
          <w:tcPr>
            <w:tcW w:w="3017" w:type="dxa"/>
          </w:tcPr>
          <w:p w14:paraId="5FE874BF" w14:textId="52F6047A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《工程管理导引》</w:t>
            </w:r>
          </w:p>
        </w:tc>
        <w:tc>
          <w:tcPr>
            <w:tcW w:w="3157" w:type="dxa"/>
          </w:tcPr>
          <w:p w14:paraId="73D3A504" w14:textId="334BF07F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MEM工程管理硕士项目</w:t>
            </w:r>
            <w:r w:rsidR="00F47AD3"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，2学分</w:t>
            </w:r>
          </w:p>
        </w:tc>
      </w:tr>
      <w:tr w:rsidR="009B36AA" w:rsidRPr="00A41E73" w14:paraId="27F6DCAF" w14:textId="77777777" w:rsidTr="00F47AD3">
        <w:tc>
          <w:tcPr>
            <w:tcW w:w="1869" w:type="dxa"/>
          </w:tcPr>
          <w:p w14:paraId="1DFBBEFB" w14:textId="012C854E" w:rsidR="009B36AA" w:rsidRPr="00A41E73" w:rsidRDefault="003F6EA9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2012年</w:t>
            </w:r>
          </w:p>
        </w:tc>
        <w:tc>
          <w:tcPr>
            <w:tcW w:w="2266" w:type="dxa"/>
          </w:tcPr>
          <w:p w14:paraId="5DDA712F" w14:textId="6DCA0229" w:rsidR="009B36AA" w:rsidRPr="00A41E73" w:rsidRDefault="003F6EA9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天津交通职业学院</w:t>
            </w:r>
          </w:p>
        </w:tc>
        <w:tc>
          <w:tcPr>
            <w:tcW w:w="3017" w:type="dxa"/>
          </w:tcPr>
          <w:p w14:paraId="2034F54A" w14:textId="44F0283B" w:rsidR="009B36AA" w:rsidRPr="00A41E73" w:rsidRDefault="003F6EA9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《微积分》教学示范课</w:t>
            </w:r>
          </w:p>
        </w:tc>
        <w:tc>
          <w:tcPr>
            <w:tcW w:w="3157" w:type="dxa"/>
          </w:tcPr>
          <w:p w14:paraId="2AB2C9DD" w14:textId="70C41495" w:rsidR="009B36AA" w:rsidRPr="00A41E73" w:rsidRDefault="003F6EA9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专科项目实践学习示范课</w:t>
            </w:r>
          </w:p>
        </w:tc>
      </w:tr>
      <w:tr w:rsidR="003F6EA9" w:rsidRPr="00A41E73" w14:paraId="6CA87B2B" w14:textId="77777777" w:rsidTr="00F302E9">
        <w:tc>
          <w:tcPr>
            <w:tcW w:w="1869" w:type="dxa"/>
          </w:tcPr>
          <w:p w14:paraId="4D79967A" w14:textId="77777777" w:rsidR="003F6EA9" w:rsidRPr="00A41E73" w:rsidRDefault="003F6EA9" w:rsidP="00F302E9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2013年至今</w:t>
            </w:r>
          </w:p>
        </w:tc>
        <w:tc>
          <w:tcPr>
            <w:tcW w:w="2266" w:type="dxa"/>
          </w:tcPr>
          <w:p w14:paraId="4C8E95B5" w14:textId="0BC5675E" w:rsidR="003F6EA9" w:rsidRPr="00A41E73" w:rsidRDefault="003F6EA9" w:rsidP="00F302E9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清华大学 教务处</w:t>
            </w:r>
            <w:r w:rsidR="0092309D"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，钱班</w:t>
            </w:r>
          </w:p>
        </w:tc>
        <w:tc>
          <w:tcPr>
            <w:tcW w:w="3017" w:type="dxa"/>
          </w:tcPr>
          <w:p w14:paraId="15121893" w14:textId="77777777" w:rsidR="003F6EA9" w:rsidRPr="00A41E73" w:rsidRDefault="003F6EA9" w:rsidP="00F302E9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 xml:space="preserve">《跨学科系统集成设计挑战》 </w:t>
            </w:r>
          </w:p>
        </w:tc>
        <w:tc>
          <w:tcPr>
            <w:tcW w:w="3157" w:type="dxa"/>
          </w:tcPr>
          <w:p w14:paraId="72456E61" w14:textId="77777777" w:rsidR="003F6EA9" w:rsidRPr="00A41E73" w:rsidRDefault="003F6EA9" w:rsidP="00F302E9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  <w:r w:rsidRPr="00A41E73">
              <w:rPr>
                <w:rFonts w:ascii="华文黑体" w:eastAsia="华文黑体" w:hint="eastAsia"/>
                <w:sz w:val="20"/>
                <w:szCs w:val="20"/>
                <w:lang w:eastAsia="zh-CN"/>
              </w:rPr>
              <w:t>本科挑战式学习示范课，2学分</w:t>
            </w:r>
          </w:p>
        </w:tc>
      </w:tr>
      <w:tr w:rsidR="009B36AA" w:rsidRPr="00A41E73" w14:paraId="75B0A123" w14:textId="77777777" w:rsidTr="00F47AD3">
        <w:tc>
          <w:tcPr>
            <w:tcW w:w="1869" w:type="dxa"/>
          </w:tcPr>
          <w:p w14:paraId="447CDE4C" w14:textId="77777777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</w:p>
        </w:tc>
        <w:tc>
          <w:tcPr>
            <w:tcW w:w="2266" w:type="dxa"/>
          </w:tcPr>
          <w:p w14:paraId="0568D058" w14:textId="77777777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</w:p>
        </w:tc>
        <w:tc>
          <w:tcPr>
            <w:tcW w:w="3017" w:type="dxa"/>
          </w:tcPr>
          <w:p w14:paraId="210D856E" w14:textId="77777777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</w:p>
        </w:tc>
        <w:tc>
          <w:tcPr>
            <w:tcW w:w="3157" w:type="dxa"/>
          </w:tcPr>
          <w:p w14:paraId="1EC48F0D" w14:textId="77777777" w:rsidR="009B36AA" w:rsidRPr="00A41E73" w:rsidRDefault="009B36AA">
            <w:pPr>
              <w:rPr>
                <w:rFonts w:ascii="华文黑体" w:eastAsia="华文黑体" w:hint="eastAsia"/>
                <w:sz w:val="20"/>
                <w:szCs w:val="20"/>
                <w:lang w:eastAsia="zh-CN"/>
              </w:rPr>
            </w:pPr>
          </w:p>
        </w:tc>
      </w:tr>
    </w:tbl>
    <w:p w14:paraId="4C95E51A" w14:textId="198C063D" w:rsidR="009B36AA" w:rsidRPr="00A41E73" w:rsidRDefault="009B36AA">
      <w:pPr>
        <w:rPr>
          <w:rFonts w:ascii="华文黑体" w:eastAsia="华文黑体" w:hint="eastAsia"/>
          <w:lang w:eastAsia="zh-CN"/>
        </w:rPr>
      </w:pPr>
    </w:p>
    <w:p w14:paraId="0AB9E191" w14:textId="77777777" w:rsidR="00A41E73" w:rsidRPr="009E36CE" w:rsidRDefault="00A41E73" w:rsidP="00A41E73">
      <w:pPr>
        <w:widowControl w:val="0"/>
        <w:autoSpaceDE w:val="0"/>
        <w:autoSpaceDN w:val="0"/>
        <w:adjustRightInd w:val="0"/>
        <w:spacing w:after="180" w:line="288" w:lineRule="auto"/>
        <w:ind w:right="-380"/>
        <w:rPr>
          <w:rFonts w:ascii="华文黑体" w:eastAsia="华文黑体" w:hAnsi="Times New Roman" w:cs="Times New Roman" w:hint="eastAsia"/>
          <w:b/>
        </w:rPr>
      </w:pPr>
      <w:r w:rsidRPr="009E36CE">
        <w:rPr>
          <w:rFonts w:ascii="华文黑体" w:eastAsia="华文黑体" w:cs="华文黑体" w:hint="eastAsia"/>
          <w:b/>
          <w:bCs/>
        </w:rPr>
        <w:t>XLP极限学习过程</w:t>
      </w:r>
    </w:p>
    <w:p w14:paraId="180F1E1E" w14:textId="77777777" w:rsidR="00A41E73" w:rsidRPr="00A41E73" w:rsidRDefault="00A41E73" w:rsidP="00A41E73">
      <w:pPr>
        <w:widowControl w:val="0"/>
        <w:autoSpaceDE w:val="0"/>
        <w:autoSpaceDN w:val="0"/>
        <w:adjustRightInd w:val="0"/>
        <w:spacing w:after="180" w:line="288" w:lineRule="auto"/>
        <w:ind w:right="-380"/>
        <w:rPr>
          <w:rFonts w:ascii="华文黑体" w:eastAsia="华文黑体" w:hAnsi="Times New Roman" w:cs="华文黑体" w:hint="eastAsia"/>
          <w:bCs/>
        </w:rPr>
      </w:pPr>
      <w:r w:rsidRPr="00A41E73">
        <w:rPr>
          <w:rFonts w:ascii="华文黑体" w:eastAsia="华文黑体" w:hAnsi="Times New Roman" w:cs="华文黑体" w:hint="eastAsia"/>
          <w:bCs/>
        </w:rPr>
        <w:t>Xxx</w:t>
      </w:r>
    </w:p>
    <w:p w14:paraId="17031F58" w14:textId="77777777" w:rsidR="00A41E73" w:rsidRPr="009E36CE" w:rsidRDefault="00A41E73" w:rsidP="00A41E73">
      <w:pPr>
        <w:widowControl w:val="0"/>
        <w:autoSpaceDE w:val="0"/>
        <w:autoSpaceDN w:val="0"/>
        <w:adjustRightInd w:val="0"/>
        <w:spacing w:after="180" w:line="288" w:lineRule="auto"/>
        <w:ind w:right="-380"/>
        <w:rPr>
          <w:rFonts w:ascii="华文黑体" w:eastAsia="华文黑体" w:hAnsi="Times New Roman" w:cs="Times New Roman" w:hint="eastAsia"/>
          <w:b/>
        </w:rPr>
      </w:pPr>
      <w:r w:rsidRPr="009E36CE">
        <w:rPr>
          <w:rFonts w:ascii="华文黑体" w:eastAsia="华文黑体" w:hAnsi="Times New Roman" w:cs="华文黑体" w:hint="eastAsia"/>
          <w:b/>
          <w:bCs/>
        </w:rPr>
        <w:t>Toyhouse清华暑期系列项目导览</w:t>
      </w:r>
    </w:p>
    <w:p w14:paraId="6DD64084" w14:textId="77777777" w:rsidR="00A41E73" w:rsidRPr="00A41E73" w:rsidRDefault="00A41E73" w:rsidP="00A41E73">
      <w:pPr>
        <w:widowControl w:val="0"/>
        <w:autoSpaceDE w:val="0"/>
        <w:autoSpaceDN w:val="0"/>
        <w:adjustRightInd w:val="0"/>
        <w:spacing w:after="180" w:line="288" w:lineRule="auto"/>
        <w:ind w:right="-380"/>
        <w:rPr>
          <w:rFonts w:ascii="华文黑体" w:eastAsia="华文黑体" w:hAnsi="Times New Roman" w:cs="Times New Roman" w:hint="eastAsia"/>
        </w:rPr>
      </w:pPr>
      <w:r w:rsidRPr="00A41E73">
        <w:rPr>
          <w:rFonts w:ascii="华文黑体" w:eastAsia="华文黑体" w:hAnsi="Times New Roman" w:cs="华文黑体" w:hint="eastAsia"/>
          <w:bCs/>
        </w:rPr>
        <w:t>在"跨学科系统集成设计挑战"在清华大学成功举办之后，Toyhouse工作室受清华大学国际处、教务处等多个部门的邀请和委托，将在2013年暑假继续举办极限学习过程系列课程。</w:t>
      </w:r>
    </w:p>
    <w:p w14:paraId="4F760814" w14:textId="77777777" w:rsidR="00A41E73" w:rsidRPr="00A41E73" w:rsidRDefault="00A41E73" w:rsidP="00A41E73">
      <w:pPr>
        <w:widowControl w:val="0"/>
        <w:autoSpaceDE w:val="0"/>
        <w:autoSpaceDN w:val="0"/>
        <w:adjustRightInd w:val="0"/>
        <w:spacing w:after="180" w:line="288" w:lineRule="auto"/>
        <w:ind w:right="-380"/>
        <w:rPr>
          <w:rFonts w:ascii="华文黑体" w:eastAsia="华文黑体" w:hAnsi="Times New Roman" w:cs="Times New Roman" w:hint="eastAsia"/>
        </w:rPr>
      </w:pPr>
      <w:r w:rsidRPr="00A41E73">
        <w:rPr>
          <w:rFonts w:ascii="华文黑体" w:eastAsia="华文黑体" w:hAnsi="Times New Roman" w:cs="华文黑体" w:hint="eastAsia"/>
          <w:bCs/>
        </w:rPr>
        <w:t>2013年暑期系列活动的主题为"打造可持续的数字国度"，将以数字化内容的设计、生产、留存、管理为核心展开。内容涉及传统文化、数字化企业管理、学校科研资源展示与产业化、数字化产品开发等。</w:t>
      </w:r>
    </w:p>
    <w:p w14:paraId="7E20D87B" w14:textId="77777777" w:rsidR="00A41E73" w:rsidRPr="00A41E73" w:rsidRDefault="00A41E73" w:rsidP="00A41E73">
      <w:pPr>
        <w:widowControl w:val="0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line="336" w:lineRule="auto"/>
        <w:ind w:left="180" w:right="-380" w:hanging="180"/>
        <w:rPr>
          <w:rFonts w:ascii="华文黑体" w:eastAsia="华文黑体" w:hAnsi="Times New Roman" w:cs="Times New Roman" w:hint="eastAsia"/>
          <w:position w:val="-2"/>
        </w:rPr>
      </w:pPr>
      <w:r w:rsidRPr="00A41E73">
        <w:rPr>
          <w:rFonts w:ascii="华文黑体" w:eastAsia="华文黑体" w:hAnsi="Times New Roman" w:cs="华文黑体" w:hint="eastAsia"/>
          <w:bCs/>
        </w:rPr>
        <w:t>清华国际暑期项目/LEGO2NANO暑期学校（产品开发，纳米科技，中国传统文化，可持续性，加工制造工艺等）</w:t>
      </w:r>
    </w:p>
    <w:p w14:paraId="4D1DD221" w14:textId="77777777" w:rsidR="00A41E73" w:rsidRPr="00A41E73" w:rsidRDefault="00A41E73" w:rsidP="00A41E73">
      <w:pPr>
        <w:widowControl w:val="0"/>
        <w:numPr>
          <w:ilvl w:val="1"/>
          <w:numId w:val="2"/>
        </w:numPr>
        <w:tabs>
          <w:tab w:val="left" w:pos="540"/>
        </w:tabs>
        <w:autoSpaceDE w:val="0"/>
        <w:autoSpaceDN w:val="0"/>
        <w:adjustRightInd w:val="0"/>
        <w:spacing w:line="336" w:lineRule="auto"/>
        <w:ind w:left="540" w:right="-380" w:hanging="180"/>
        <w:rPr>
          <w:rFonts w:ascii="华文黑体" w:eastAsia="华文黑体" w:hAnsi="Times New Roman" w:cs="Times New Roman" w:hint="eastAsia"/>
          <w:position w:val="-2"/>
        </w:rPr>
      </w:pPr>
      <w:r w:rsidRPr="00A41E73">
        <w:rPr>
          <w:rFonts w:ascii="华文黑体" w:eastAsia="华文黑体" w:hAnsi="Times New Roman" w:cs="华文黑体" w:hint="eastAsia"/>
          <w:bCs/>
        </w:rPr>
        <w:t>2013年9月，清华大学微纳米力学中心、Toyhouse工作室与北京大学、英国伦敦大学学院（UCL）、LEGO学习研究院将合作举办为期一周的暑期学校。来自UCL的12位博士生将与清华、北大的12位博士生一起利用LEGO、3D打印等现代材料，开发制作低成本的微纳米级原子力扫描显微镜，作为下一代物理教学的载体。</w:t>
      </w:r>
    </w:p>
    <w:p w14:paraId="0C13281D" w14:textId="77777777" w:rsidR="00A41E73" w:rsidRPr="00A41E73" w:rsidRDefault="00A41E73" w:rsidP="00A41E73">
      <w:pPr>
        <w:widowControl w:val="0"/>
        <w:numPr>
          <w:ilvl w:val="1"/>
          <w:numId w:val="2"/>
        </w:numPr>
        <w:tabs>
          <w:tab w:val="left" w:pos="540"/>
        </w:tabs>
        <w:autoSpaceDE w:val="0"/>
        <w:autoSpaceDN w:val="0"/>
        <w:adjustRightInd w:val="0"/>
        <w:spacing w:line="336" w:lineRule="auto"/>
        <w:ind w:left="540" w:right="-380" w:hanging="180"/>
        <w:rPr>
          <w:rFonts w:ascii="华文黑体" w:eastAsia="华文黑体" w:hAnsi="Times New Roman" w:cs="Times New Roman" w:hint="eastAsia"/>
          <w:position w:val="-2"/>
        </w:rPr>
      </w:pPr>
      <w:r w:rsidRPr="00A41E73">
        <w:rPr>
          <w:rFonts w:ascii="华文黑体" w:eastAsia="华文黑体" w:hAnsi="Times New Roman" w:cs="华文黑体" w:hint="eastAsia"/>
          <w:bCs/>
        </w:rPr>
        <w:lastRenderedPageBreak/>
        <w:t>来自全球各国的本科生、MBA学生、研究生聚集清华，从数字化社会的视角，探寻中国传统文化中有关管理学、可持续发展、建筑设计、音乐、工艺制造等方面的内容。进而设计数字国度中下一代学习、生活、工作环境，并制作出具备功能的展示原型。</w:t>
      </w:r>
    </w:p>
    <w:p w14:paraId="55F69822" w14:textId="77777777" w:rsidR="00A41E73" w:rsidRPr="00A41E73" w:rsidRDefault="00A41E73" w:rsidP="00A41E73">
      <w:pPr>
        <w:widowControl w:val="0"/>
        <w:numPr>
          <w:ilvl w:val="1"/>
          <w:numId w:val="2"/>
        </w:numPr>
        <w:tabs>
          <w:tab w:val="left" w:pos="180"/>
        </w:tabs>
        <w:autoSpaceDE w:val="0"/>
        <w:autoSpaceDN w:val="0"/>
        <w:adjustRightInd w:val="0"/>
        <w:spacing w:line="336" w:lineRule="auto"/>
        <w:ind w:left="180" w:right="-380" w:hanging="180"/>
        <w:rPr>
          <w:rFonts w:ascii="华文黑体" w:eastAsia="华文黑体" w:hAnsi="Times New Roman" w:cs="Times New Roman" w:hint="eastAsia"/>
          <w:position w:val="-2"/>
        </w:rPr>
      </w:pPr>
      <w:r w:rsidRPr="00A41E73">
        <w:rPr>
          <w:rFonts w:ascii="华文黑体" w:eastAsia="华文黑体" w:hAnsi="Times New Roman" w:cs="华文黑体" w:hint="eastAsia"/>
          <w:bCs/>
        </w:rPr>
        <w:t>MEM工程管理硕士新生导引（工艺制造等学术科研内容）</w:t>
      </w:r>
    </w:p>
    <w:p w14:paraId="703721A5" w14:textId="77777777" w:rsidR="00A41E73" w:rsidRPr="00A41E73" w:rsidRDefault="00A41E73" w:rsidP="00A41E73">
      <w:pPr>
        <w:widowControl w:val="0"/>
        <w:numPr>
          <w:ilvl w:val="1"/>
          <w:numId w:val="2"/>
        </w:numPr>
        <w:tabs>
          <w:tab w:val="left" w:pos="540"/>
        </w:tabs>
        <w:autoSpaceDE w:val="0"/>
        <w:autoSpaceDN w:val="0"/>
        <w:adjustRightInd w:val="0"/>
        <w:spacing w:line="336" w:lineRule="auto"/>
        <w:ind w:left="540" w:right="-380" w:hanging="180"/>
        <w:rPr>
          <w:rFonts w:ascii="华文黑体" w:eastAsia="华文黑体" w:hAnsi="Times New Roman" w:cs="Times New Roman" w:hint="eastAsia"/>
          <w:position w:val="-2"/>
        </w:rPr>
      </w:pPr>
      <w:r w:rsidRPr="00A41E73">
        <w:rPr>
          <w:rFonts w:ascii="华文黑体" w:eastAsia="华文黑体" w:hAnsi="Times New Roman" w:cs="华文黑体" w:hint="eastAsia"/>
          <w:bCs/>
        </w:rPr>
        <w:t>第二届工程管理硕士班将在2013年8月入学。120余名来自全国各地各个行业的学员将在四天的时间内，作为任务方，对清华大学若干实验室的科研项目进行调研，并结合产业实践经验及当前业界问题，撰写产学结合机会识别与项目计划书。同时，本项目将由约30名清华大学学生组成挑战方，在活动前2个月的时间内，与各实验室的教师、同学一起，整理相关学术内容，制作包括视频、宣传材料在内的数字化出版物，作为工程硕士学生任务方的学习资料。另一方面，也可以让在校师生能够更好地了解实验室的科研内容，并在全球进一步确立清华大学的学术科研品牌。</w:t>
      </w:r>
    </w:p>
    <w:p w14:paraId="0E12BA38" w14:textId="77777777" w:rsidR="00A41E73" w:rsidRPr="00A41E73" w:rsidRDefault="00A41E73" w:rsidP="00A41E73">
      <w:pPr>
        <w:widowControl w:val="0"/>
        <w:numPr>
          <w:ilvl w:val="1"/>
          <w:numId w:val="2"/>
        </w:numPr>
        <w:tabs>
          <w:tab w:val="left" w:pos="180"/>
        </w:tabs>
        <w:autoSpaceDE w:val="0"/>
        <w:autoSpaceDN w:val="0"/>
        <w:adjustRightInd w:val="0"/>
        <w:spacing w:line="336" w:lineRule="auto"/>
        <w:ind w:left="180" w:right="-380" w:hanging="180"/>
        <w:rPr>
          <w:rFonts w:ascii="华文黑体" w:eastAsia="华文黑体" w:hAnsi="Times New Roman" w:cs="Times New Roman" w:hint="eastAsia"/>
          <w:position w:val="-2"/>
        </w:rPr>
      </w:pPr>
      <w:r w:rsidRPr="00A41E73">
        <w:rPr>
          <w:rFonts w:ascii="华文黑体" w:eastAsia="华文黑体" w:hAnsi="Times New Roman" w:cs="华文黑体" w:hint="eastAsia"/>
          <w:bCs/>
        </w:rPr>
        <w:t>MBA/EMBA项目新生导引（工艺制造等学术科研内容）</w:t>
      </w:r>
    </w:p>
    <w:p w14:paraId="7F7EB2CF" w14:textId="77777777" w:rsidR="00A41E73" w:rsidRPr="00A41E73" w:rsidRDefault="00A41E73" w:rsidP="00A41E73">
      <w:pPr>
        <w:widowControl w:val="0"/>
        <w:numPr>
          <w:ilvl w:val="1"/>
          <w:numId w:val="2"/>
        </w:numPr>
        <w:tabs>
          <w:tab w:val="left" w:pos="540"/>
        </w:tabs>
        <w:autoSpaceDE w:val="0"/>
        <w:autoSpaceDN w:val="0"/>
        <w:adjustRightInd w:val="0"/>
        <w:spacing w:line="336" w:lineRule="auto"/>
        <w:ind w:left="540" w:right="-380" w:hanging="180"/>
        <w:rPr>
          <w:rFonts w:ascii="华文黑体" w:eastAsia="华文黑体" w:hAnsi="Times New Roman" w:cs="Times New Roman" w:hint="eastAsia"/>
          <w:position w:val="-2"/>
        </w:rPr>
      </w:pPr>
      <w:r w:rsidRPr="00A41E73">
        <w:rPr>
          <w:rFonts w:ascii="华文黑体" w:eastAsia="华文黑体" w:hAnsi="Times New Roman" w:cs="华文黑体" w:hint="eastAsia"/>
          <w:bCs/>
        </w:rPr>
        <w:t>（项目内容及形式与MEM项目类似）</w:t>
      </w:r>
    </w:p>
    <w:p w14:paraId="3A9E9F71" w14:textId="77777777" w:rsidR="00A41E73" w:rsidRPr="00A41E73" w:rsidRDefault="00A41E73" w:rsidP="00A41E73">
      <w:pPr>
        <w:widowControl w:val="0"/>
        <w:numPr>
          <w:ilvl w:val="1"/>
          <w:numId w:val="2"/>
        </w:numPr>
        <w:tabs>
          <w:tab w:val="left" w:pos="180"/>
        </w:tabs>
        <w:autoSpaceDE w:val="0"/>
        <w:autoSpaceDN w:val="0"/>
        <w:adjustRightInd w:val="0"/>
        <w:spacing w:line="336" w:lineRule="auto"/>
        <w:ind w:left="180" w:right="-380" w:hanging="180"/>
        <w:rPr>
          <w:rFonts w:ascii="华文黑体" w:eastAsia="华文黑体" w:hAnsi="Times New Roman" w:cs="Times New Roman" w:hint="eastAsia"/>
          <w:position w:val="-2"/>
        </w:rPr>
      </w:pPr>
      <w:r w:rsidRPr="00A41E73">
        <w:rPr>
          <w:rFonts w:ascii="华文黑体" w:eastAsia="华文黑体" w:hAnsi="Times New Roman" w:cs="华文黑体" w:hint="eastAsia"/>
          <w:bCs/>
        </w:rPr>
        <w:t>DIY2DIO全球创客盛典（动手自造）</w:t>
      </w:r>
    </w:p>
    <w:p w14:paraId="18E8A5E3" w14:textId="72578FC9" w:rsidR="0037283B" w:rsidRPr="00A41E73" w:rsidRDefault="00A41E73" w:rsidP="00A41E73">
      <w:pPr>
        <w:spacing w:after="180" w:line="288" w:lineRule="auto"/>
        <w:rPr>
          <w:rFonts w:ascii="华文黑体" w:eastAsia="华文黑体" w:hint="eastAsia"/>
          <w:lang w:eastAsia="zh-CN"/>
        </w:rPr>
      </w:pPr>
      <w:r w:rsidRPr="00A41E73">
        <w:rPr>
          <w:rFonts w:ascii="华文黑体" w:eastAsia="华文黑体" w:hAnsi="Times New Roman" w:cs="华文黑体" w:hint="eastAsia"/>
          <w:bCs/>
        </w:rPr>
        <w:t>新美国基金会联合亚利桑那州立大学（ASU）及清华大学，准备以极限学习过程的格式，举办全球范围的创客盛典。项目将邀请世界各地的创客、创意制作发烧友、技术高手等人士，围绕电子废料的再利用这一题目，提出自己的想法并制作出来，最终每位个人或每个团队都将通过一段视频短片发布在华盛顿邮报（Washington Post）旗下的Slate.com网站，来向全球介绍团队项目。</w:t>
      </w:r>
    </w:p>
    <w:sectPr w:rsidR="0037283B" w:rsidRPr="00A41E73" w:rsidSect="008801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华文黑体">
    <w:altName w:val="ª™Œƒ∫⁄ÃÂ"/>
    <w:charset w:val="50"/>
    <w:family w:val="auto"/>
    <w:pitch w:val="variable"/>
    <w:sig w:usb0="00000001" w:usb1="080E0000" w:usb2="00000010" w:usb3="00000000" w:csb0="00040000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9"/>
    <w:multiLevelType w:val="multilevel"/>
    <w:tmpl w:val="894EE87B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 Light" w:eastAsia="Arial Unicode MS" w:hAnsi="Helvetica Light" w:hint="default"/>
        <w:b w:val="0"/>
        <w:i w:val="0"/>
        <w:caps w:val="0"/>
        <w:smallCaps w:val="0"/>
        <w:strike w:val="0"/>
        <w:dstrike w:val="0"/>
        <w:outline w:val="0"/>
        <w:color w:val="6C7472"/>
        <w:kern w:val="0"/>
        <w:position w:val="-2"/>
        <w:sz w:val="24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14D"/>
    <w:rsid w:val="0037283B"/>
    <w:rsid w:val="003F6EA9"/>
    <w:rsid w:val="006A0624"/>
    <w:rsid w:val="0070296F"/>
    <w:rsid w:val="0088014D"/>
    <w:rsid w:val="0092309D"/>
    <w:rsid w:val="009B36AA"/>
    <w:rsid w:val="009E36CE"/>
    <w:rsid w:val="00A41E73"/>
    <w:rsid w:val="00CE7CC3"/>
    <w:rsid w:val="00D43508"/>
    <w:rsid w:val="00E01996"/>
    <w:rsid w:val="00F302E9"/>
    <w:rsid w:val="00F4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9A4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1">
    <w:name w:val="Body 1"/>
    <w:rsid w:val="00F302E9"/>
    <w:pPr>
      <w:spacing w:after="180" w:line="288" w:lineRule="auto"/>
    </w:pPr>
    <w:rPr>
      <w:rFonts w:ascii="Helvetica Light" w:eastAsia="Arial Unicode MS" w:hAnsi="Helvetica Light" w:cs="Times New Roman"/>
      <w:color w:val="000000"/>
      <w:szCs w:val="20"/>
      <w:lang w:eastAsia="zh-CN"/>
    </w:rPr>
  </w:style>
  <w:style w:type="paragraph" w:customStyle="1" w:styleId="BodyBullet">
    <w:name w:val="Body Bullet"/>
    <w:rsid w:val="00F302E9"/>
    <w:pPr>
      <w:suppressAutoHyphens/>
      <w:spacing w:line="336" w:lineRule="auto"/>
    </w:pPr>
    <w:rPr>
      <w:rFonts w:ascii="Helvetica Light" w:eastAsia="Arial Unicode MS" w:hAnsi="Helvetica Light" w:cs="Times New Roman"/>
      <w:color w:val="00000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1">
    <w:name w:val="Body 1"/>
    <w:rsid w:val="00F302E9"/>
    <w:pPr>
      <w:spacing w:after="180" w:line="288" w:lineRule="auto"/>
    </w:pPr>
    <w:rPr>
      <w:rFonts w:ascii="Helvetica Light" w:eastAsia="Arial Unicode MS" w:hAnsi="Helvetica Light" w:cs="Times New Roman"/>
      <w:color w:val="000000"/>
      <w:szCs w:val="20"/>
      <w:lang w:eastAsia="zh-CN"/>
    </w:rPr>
  </w:style>
  <w:style w:type="paragraph" w:customStyle="1" w:styleId="BodyBullet">
    <w:name w:val="Body Bullet"/>
    <w:rsid w:val="00F302E9"/>
    <w:pPr>
      <w:suppressAutoHyphens/>
      <w:spacing w:line="336" w:lineRule="auto"/>
    </w:pPr>
    <w:rPr>
      <w:rFonts w:ascii="Helvetica Light" w:eastAsia="Arial Unicode MS" w:hAnsi="Helvetica Light" w:cs="Times New Roman"/>
      <w:color w:val="00000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C15107-15F7-4542-8110-142BCEA2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1297</Characters>
  <Application>Microsoft Macintosh Word</Application>
  <DocSecurity>0</DocSecurity>
  <Lines>10</Lines>
  <Paragraphs>3</Paragraphs>
  <ScaleCrop>false</ScaleCrop>
  <Company>Tsinghua University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12</cp:revision>
  <dcterms:created xsi:type="dcterms:W3CDTF">2013-07-09T00:08:00Z</dcterms:created>
  <dcterms:modified xsi:type="dcterms:W3CDTF">2013-07-09T00:48:00Z</dcterms:modified>
</cp:coreProperties>
</file>