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36AB5" w14:textId="77777777" w:rsidR="00A96475" w:rsidRPr="00C51339" w:rsidRDefault="00A96475" w:rsidP="00A96475">
      <w:pPr>
        <w:jc w:val="center"/>
      </w:pPr>
    </w:p>
    <w:p w14:paraId="4DE190B9" w14:textId="1DFA55F7" w:rsidR="00A96475" w:rsidRPr="00C51339" w:rsidRDefault="00426DF8" w:rsidP="00426DF8">
      <w:pPr>
        <w:tabs>
          <w:tab w:val="left" w:pos="6615"/>
        </w:tabs>
      </w:pPr>
      <w:r>
        <w:tab/>
      </w:r>
    </w:p>
    <w:p w14:paraId="6179E37E" w14:textId="70C7006F" w:rsidR="00A96475" w:rsidRPr="00C51339" w:rsidRDefault="00A96475" w:rsidP="00A96475">
      <w:pPr>
        <w:jc w:val="center"/>
      </w:pPr>
    </w:p>
    <w:p w14:paraId="6B36852E" w14:textId="129930E2" w:rsidR="006368DB" w:rsidRDefault="006368DB" w:rsidP="00A96475">
      <w:pPr>
        <w:jc w:val="center"/>
      </w:pPr>
    </w:p>
    <w:p w14:paraId="19F5197B" w14:textId="6ADF532E" w:rsidR="0065185B" w:rsidRDefault="0065185B" w:rsidP="00A96475">
      <w:pPr>
        <w:jc w:val="center"/>
      </w:pPr>
    </w:p>
    <w:p w14:paraId="14870134" w14:textId="77777777" w:rsidR="0065185B" w:rsidRPr="00C51339" w:rsidRDefault="0065185B" w:rsidP="00A96475">
      <w:pPr>
        <w:jc w:val="center"/>
      </w:pPr>
    </w:p>
    <w:p w14:paraId="09841A55" w14:textId="77777777" w:rsidR="006368DB" w:rsidRPr="00C51339" w:rsidRDefault="006368DB" w:rsidP="00A96475">
      <w:pPr>
        <w:jc w:val="center"/>
      </w:pPr>
    </w:p>
    <w:p w14:paraId="1C195442" w14:textId="5545A01B" w:rsidR="00A96475" w:rsidRDefault="00A96475" w:rsidP="00A96475">
      <w:pPr>
        <w:jc w:val="center"/>
      </w:pPr>
    </w:p>
    <w:p w14:paraId="12C228A5" w14:textId="77777777" w:rsidR="00A96475" w:rsidRPr="00C51339" w:rsidRDefault="00A96475" w:rsidP="00A96475">
      <w:pPr>
        <w:jc w:val="center"/>
      </w:pPr>
    </w:p>
    <w:p w14:paraId="3D9DEC0D" w14:textId="2297AEBC" w:rsidR="00A96475" w:rsidRPr="002B4305" w:rsidRDefault="00A8397F" w:rsidP="002D184C">
      <w:pPr>
        <w:pStyle w:val="Title"/>
      </w:pPr>
      <w:bookmarkStart w:id="0" w:name="_Hlk110874148"/>
      <w:r>
        <w:t>Thermaquil</w:t>
      </w:r>
      <w:r w:rsidR="0028169D" w:rsidRPr="0028169D">
        <w:t xml:space="preserve"> System </w:t>
      </w:r>
      <w:r w:rsidR="006832D8" w:rsidRPr="006832D8">
        <w:t>Design</w:t>
      </w:r>
      <w:r w:rsidR="006832D8">
        <w:t xml:space="preserve"> Specification</w:t>
      </w:r>
    </w:p>
    <w:p w14:paraId="6E758BB5" w14:textId="77777777" w:rsidR="00A96475" w:rsidRPr="00C51339" w:rsidRDefault="00A96475" w:rsidP="00A96475">
      <w:pPr>
        <w:jc w:val="center"/>
      </w:pPr>
    </w:p>
    <w:p w14:paraId="285A68C7" w14:textId="7729F1BD" w:rsidR="002D66F5" w:rsidRPr="00C51339" w:rsidRDefault="002D66F5" w:rsidP="002D66F5">
      <w:pPr>
        <w:jc w:val="center"/>
      </w:pPr>
      <w:r w:rsidRPr="00C51339">
        <w:t>W</w:t>
      </w:r>
      <w:r w:rsidR="009C13E5">
        <w:t>e</w:t>
      </w:r>
      <w:r w:rsidRPr="00C51339">
        <w:t>lkins, LLC</w:t>
      </w:r>
    </w:p>
    <w:p w14:paraId="6673A6EF" w14:textId="25559853" w:rsidR="002D66F5" w:rsidRPr="00C51339" w:rsidRDefault="00085973" w:rsidP="002D66F5">
      <w:pPr>
        <w:jc w:val="center"/>
      </w:pPr>
      <w:r w:rsidRPr="00C51339">
        <w:t>3000 Woodcreek Dr. Ste. 300</w:t>
      </w:r>
    </w:p>
    <w:p w14:paraId="5FC16CB6" w14:textId="074146FC" w:rsidR="00085973" w:rsidRPr="00C51339" w:rsidRDefault="00085973" w:rsidP="002D66F5">
      <w:pPr>
        <w:jc w:val="center"/>
      </w:pPr>
      <w:r w:rsidRPr="00C51339">
        <w:t>Downers Grove, IL 60515</w:t>
      </w:r>
    </w:p>
    <w:bookmarkEnd w:id="0"/>
    <w:p w14:paraId="3582D150" w14:textId="62B53611" w:rsidR="00A96475" w:rsidRPr="00C51339" w:rsidRDefault="00A96475" w:rsidP="00A96475">
      <w:pPr>
        <w:jc w:val="center"/>
      </w:pPr>
    </w:p>
    <w:p w14:paraId="76A4B510" w14:textId="2757F240" w:rsidR="00A96475" w:rsidRDefault="00A96475" w:rsidP="00A96475">
      <w:pPr>
        <w:jc w:val="center"/>
      </w:pPr>
    </w:p>
    <w:p w14:paraId="73F555EB" w14:textId="25EDFBF4" w:rsidR="006125EC" w:rsidRDefault="006125EC" w:rsidP="00A96475">
      <w:pPr>
        <w:jc w:val="center"/>
      </w:pPr>
    </w:p>
    <w:p w14:paraId="35E7828D" w14:textId="0D883CEF" w:rsidR="006125EC" w:rsidRDefault="006125EC" w:rsidP="00A96475">
      <w:pPr>
        <w:jc w:val="center"/>
      </w:pPr>
    </w:p>
    <w:p w14:paraId="3E964AE8" w14:textId="26C474F5" w:rsidR="006125EC" w:rsidRDefault="006125EC" w:rsidP="00A96475">
      <w:pPr>
        <w:jc w:val="center"/>
      </w:pPr>
    </w:p>
    <w:p w14:paraId="59C7AA34" w14:textId="5BD96681" w:rsidR="006125EC" w:rsidRDefault="006125EC" w:rsidP="00A96475">
      <w:pPr>
        <w:jc w:val="center"/>
      </w:pPr>
    </w:p>
    <w:p w14:paraId="3E3E45FE" w14:textId="76100706" w:rsidR="006125EC" w:rsidRDefault="006125EC" w:rsidP="00A96475">
      <w:pPr>
        <w:jc w:val="center"/>
      </w:pPr>
    </w:p>
    <w:p w14:paraId="5FEA64A4" w14:textId="3E23E456" w:rsidR="006125EC" w:rsidRDefault="006125EC" w:rsidP="00A96475">
      <w:pPr>
        <w:jc w:val="center"/>
      </w:pPr>
    </w:p>
    <w:p w14:paraId="01FB7B48" w14:textId="27B529F0" w:rsidR="006125EC" w:rsidRDefault="006125EC" w:rsidP="00A96475">
      <w:pPr>
        <w:jc w:val="center"/>
      </w:pPr>
    </w:p>
    <w:p w14:paraId="15D2DBC4" w14:textId="77777777" w:rsidR="006125EC" w:rsidRPr="00C51339" w:rsidRDefault="006125EC" w:rsidP="007A4BDE"/>
    <w:p w14:paraId="27C32033" w14:textId="77777777" w:rsidR="00A96475" w:rsidRPr="00C51339" w:rsidRDefault="00A96475" w:rsidP="00A96475">
      <w:pPr>
        <w:jc w:val="center"/>
      </w:pPr>
    </w:p>
    <w:p w14:paraId="03B701E6" w14:textId="77777777" w:rsidR="00A96475" w:rsidRPr="00C51339" w:rsidRDefault="00A96475" w:rsidP="00A96475">
      <w:pPr>
        <w:jc w:val="center"/>
      </w:pPr>
    </w:p>
    <w:tbl>
      <w:tblPr>
        <w:tblW w:w="5000" w:type="pct"/>
        <w:jc w:val="center"/>
        <w:tblLayout w:type="fixed"/>
        <w:tblLook w:val="0000" w:firstRow="0" w:lastRow="0" w:firstColumn="0" w:lastColumn="0" w:noHBand="0" w:noVBand="0"/>
      </w:tblPr>
      <w:tblGrid>
        <w:gridCol w:w="630"/>
        <w:gridCol w:w="4687"/>
        <w:gridCol w:w="1336"/>
        <w:gridCol w:w="1349"/>
        <w:gridCol w:w="1342"/>
      </w:tblGrid>
      <w:tr w:rsidR="00085973" w:rsidRPr="00830297" w14:paraId="1BF2FCCC" w14:textId="77777777" w:rsidTr="00A8397F">
        <w:trPr>
          <w:trHeight w:val="432"/>
          <w:jc w:val="center"/>
        </w:trPr>
        <w:tc>
          <w:tcPr>
            <w:tcW w:w="337" w:type="pct"/>
            <w:tcBorders>
              <w:top w:val="single" w:sz="6" w:space="0" w:color="auto"/>
              <w:left w:val="single" w:sz="6" w:space="0" w:color="auto"/>
              <w:right w:val="single" w:sz="6" w:space="0" w:color="auto"/>
            </w:tcBorders>
            <w:vAlign w:val="center"/>
          </w:tcPr>
          <w:p w14:paraId="4F5DDDF7" w14:textId="77777777" w:rsidR="00085973" w:rsidRPr="00830297" w:rsidRDefault="00085973" w:rsidP="00FA17C3">
            <w:pPr>
              <w:rPr>
                <w:b/>
                <w:bCs/>
                <w:iCs/>
                <w:sz w:val="20"/>
                <w:szCs w:val="20"/>
              </w:rPr>
            </w:pPr>
            <w:bookmarkStart w:id="1" w:name="_Hlk110874132"/>
            <w:r w:rsidRPr="00830297">
              <w:rPr>
                <w:b/>
                <w:bCs/>
                <w:iCs/>
                <w:sz w:val="20"/>
                <w:szCs w:val="20"/>
              </w:rPr>
              <w:t>Rev</w:t>
            </w:r>
          </w:p>
        </w:tc>
        <w:tc>
          <w:tcPr>
            <w:tcW w:w="2507" w:type="pct"/>
            <w:tcBorders>
              <w:top w:val="single" w:sz="6" w:space="0" w:color="auto"/>
              <w:right w:val="single" w:sz="4" w:space="0" w:color="auto"/>
            </w:tcBorders>
            <w:vAlign w:val="center"/>
          </w:tcPr>
          <w:p w14:paraId="5F193C13" w14:textId="77777777" w:rsidR="00085973" w:rsidRPr="00830297" w:rsidRDefault="00085973" w:rsidP="00FA17C3">
            <w:pPr>
              <w:rPr>
                <w:b/>
                <w:bCs/>
                <w:iCs/>
                <w:sz w:val="20"/>
                <w:szCs w:val="20"/>
              </w:rPr>
            </w:pPr>
            <w:r w:rsidRPr="00830297">
              <w:rPr>
                <w:b/>
                <w:bCs/>
                <w:iCs/>
                <w:sz w:val="20"/>
                <w:szCs w:val="20"/>
              </w:rPr>
              <w:t>Description of Change</w:t>
            </w:r>
          </w:p>
        </w:tc>
        <w:tc>
          <w:tcPr>
            <w:tcW w:w="715" w:type="pct"/>
            <w:tcBorders>
              <w:top w:val="single" w:sz="4" w:space="0" w:color="auto"/>
              <w:left w:val="single" w:sz="4" w:space="0" w:color="auto"/>
              <w:bottom w:val="single" w:sz="4" w:space="0" w:color="auto"/>
              <w:right w:val="single" w:sz="4" w:space="0" w:color="auto"/>
            </w:tcBorders>
            <w:vAlign w:val="center"/>
          </w:tcPr>
          <w:p w14:paraId="66227B98" w14:textId="77777777" w:rsidR="00085973" w:rsidRPr="00830297" w:rsidRDefault="00085973" w:rsidP="00FA17C3">
            <w:pPr>
              <w:rPr>
                <w:b/>
                <w:bCs/>
                <w:iCs/>
                <w:sz w:val="20"/>
                <w:szCs w:val="20"/>
              </w:rPr>
            </w:pPr>
            <w:r w:rsidRPr="00830297">
              <w:rPr>
                <w:b/>
                <w:bCs/>
                <w:iCs/>
                <w:sz w:val="20"/>
                <w:szCs w:val="20"/>
              </w:rPr>
              <w:t>Prepare</w:t>
            </w:r>
            <w:r>
              <w:rPr>
                <w:b/>
                <w:bCs/>
                <w:iCs/>
                <w:sz w:val="20"/>
                <w:szCs w:val="20"/>
              </w:rPr>
              <w:t>d By</w:t>
            </w:r>
          </w:p>
        </w:tc>
        <w:tc>
          <w:tcPr>
            <w:tcW w:w="722" w:type="pct"/>
            <w:tcBorders>
              <w:top w:val="single" w:sz="6" w:space="0" w:color="auto"/>
              <w:left w:val="single" w:sz="4" w:space="0" w:color="auto"/>
              <w:right w:val="single" w:sz="6" w:space="0" w:color="auto"/>
            </w:tcBorders>
            <w:vAlign w:val="center"/>
          </w:tcPr>
          <w:p w14:paraId="53EC5620" w14:textId="77777777" w:rsidR="00085973" w:rsidRPr="00830297" w:rsidRDefault="00085973" w:rsidP="00FA17C3">
            <w:pPr>
              <w:rPr>
                <w:b/>
                <w:bCs/>
                <w:i/>
                <w:iCs/>
                <w:sz w:val="20"/>
                <w:szCs w:val="20"/>
              </w:rPr>
            </w:pPr>
            <w:r>
              <w:rPr>
                <w:b/>
                <w:bCs/>
                <w:iCs/>
                <w:sz w:val="20"/>
                <w:szCs w:val="20"/>
              </w:rPr>
              <w:t>Checked By</w:t>
            </w:r>
          </w:p>
        </w:tc>
        <w:tc>
          <w:tcPr>
            <w:tcW w:w="718" w:type="pct"/>
            <w:tcBorders>
              <w:top w:val="single" w:sz="6" w:space="0" w:color="auto"/>
              <w:right w:val="single" w:sz="6" w:space="0" w:color="auto"/>
            </w:tcBorders>
            <w:vAlign w:val="center"/>
          </w:tcPr>
          <w:p w14:paraId="2CB0F6A6" w14:textId="77777777" w:rsidR="00085973" w:rsidRPr="00830297" w:rsidRDefault="00085973" w:rsidP="00FA17C3">
            <w:pPr>
              <w:rPr>
                <w:b/>
                <w:bCs/>
                <w:iCs/>
                <w:sz w:val="20"/>
                <w:szCs w:val="20"/>
              </w:rPr>
            </w:pPr>
            <w:r w:rsidRPr="00830297">
              <w:rPr>
                <w:b/>
                <w:bCs/>
                <w:iCs/>
                <w:sz w:val="20"/>
                <w:szCs w:val="20"/>
              </w:rPr>
              <w:t>Date</w:t>
            </w:r>
          </w:p>
        </w:tc>
      </w:tr>
      <w:tr w:rsidR="00085973" w:rsidRPr="00830297" w14:paraId="74D17B7B" w14:textId="77777777" w:rsidTr="00A8397F">
        <w:trPr>
          <w:trHeight w:val="257"/>
          <w:jc w:val="center"/>
        </w:trPr>
        <w:tc>
          <w:tcPr>
            <w:tcW w:w="337" w:type="pct"/>
            <w:tcBorders>
              <w:top w:val="single" w:sz="4" w:space="0" w:color="auto"/>
              <w:left w:val="single" w:sz="4" w:space="0" w:color="auto"/>
              <w:bottom w:val="single" w:sz="4" w:space="0" w:color="auto"/>
              <w:right w:val="single" w:sz="4" w:space="0" w:color="auto"/>
            </w:tcBorders>
          </w:tcPr>
          <w:p w14:paraId="53D8E451" w14:textId="704701C9" w:rsidR="00085973" w:rsidRPr="00830297" w:rsidRDefault="00A8397F" w:rsidP="00FA17C3">
            <w:pPr>
              <w:rPr>
                <w:sz w:val="20"/>
                <w:szCs w:val="20"/>
              </w:rPr>
            </w:pPr>
            <w:r>
              <w:rPr>
                <w:sz w:val="20"/>
                <w:szCs w:val="20"/>
              </w:rPr>
              <w:t>P1</w:t>
            </w:r>
          </w:p>
        </w:tc>
        <w:tc>
          <w:tcPr>
            <w:tcW w:w="2507" w:type="pct"/>
            <w:tcBorders>
              <w:top w:val="single" w:sz="4" w:space="0" w:color="auto"/>
              <w:left w:val="single" w:sz="4" w:space="0" w:color="auto"/>
              <w:bottom w:val="single" w:sz="4" w:space="0" w:color="auto"/>
              <w:right w:val="single" w:sz="4" w:space="0" w:color="auto"/>
            </w:tcBorders>
          </w:tcPr>
          <w:p w14:paraId="42BBD8D5" w14:textId="77777777" w:rsidR="00085973" w:rsidRPr="00830297" w:rsidRDefault="00085973" w:rsidP="00FA17C3">
            <w:pPr>
              <w:rPr>
                <w:sz w:val="20"/>
                <w:szCs w:val="20"/>
              </w:rPr>
            </w:pPr>
            <w:r w:rsidRPr="00830297">
              <w:rPr>
                <w:sz w:val="20"/>
                <w:szCs w:val="20"/>
              </w:rPr>
              <w:t>Initial Draft</w:t>
            </w:r>
          </w:p>
        </w:tc>
        <w:tc>
          <w:tcPr>
            <w:tcW w:w="715" w:type="pct"/>
            <w:tcBorders>
              <w:top w:val="single" w:sz="4" w:space="0" w:color="auto"/>
              <w:left w:val="single" w:sz="4" w:space="0" w:color="auto"/>
              <w:bottom w:val="single" w:sz="4" w:space="0" w:color="auto"/>
              <w:right w:val="single" w:sz="4" w:space="0" w:color="auto"/>
            </w:tcBorders>
          </w:tcPr>
          <w:p w14:paraId="3B7A4250" w14:textId="5C993BBC" w:rsidR="00085973" w:rsidRPr="00830297" w:rsidRDefault="00A8397F" w:rsidP="00FA17C3">
            <w:pPr>
              <w:rPr>
                <w:bCs/>
                <w:iCs/>
                <w:sz w:val="20"/>
                <w:szCs w:val="20"/>
              </w:rPr>
            </w:pPr>
            <w:r>
              <w:rPr>
                <w:bCs/>
                <w:iCs/>
                <w:sz w:val="20"/>
                <w:szCs w:val="20"/>
              </w:rPr>
              <w:t>D Luby</w:t>
            </w:r>
          </w:p>
        </w:tc>
        <w:tc>
          <w:tcPr>
            <w:tcW w:w="722" w:type="pct"/>
            <w:tcBorders>
              <w:top w:val="single" w:sz="4" w:space="0" w:color="auto"/>
              <w:left w:val="single" w:sz="4" w:space="0" w:color="auto"/>
              <w:bottom w:val="single" w:sz="4" w:space="0" w:color="auto"/>
              <w:right w:val="single" w:sz="4" w:space="0" w:color="auto"/>
            </w:tcBorders>
          </w:tcPr>
          <w:p w14:paraId="5C4ED638" w14:textId="793D9533" w:rsidR="00085973" w:rsidRPr="00830297" w:rsidRDefault="00711A0D" w:rsidP="00FA17C3">
            <w:pPr>
              <w:rPr>
                <w:sz w:val="20"/>
                <w:szCs w:val="20"/>
              </w:rPr>
            </w:pPr>
            <w:r>
              <w:rPr>
                <w:sz w:val="20"/>
                <w:szCs w:val="20"/>
              </w:rPr>
              <w:t>D. Luby</w:t>
            </w:r>
          </w:p>
        </w:tc>
        <w:tc>
          <w:tcPr>
            <w:tcW w:w="718" w:type="pct"/>
            <w:tcBorders>
              <w:top w:val="single" w:sz="4" w:space="0" w:color="auto"/>
              <w:left w:val="single" w:sz="4" w:space="0" w:color="auto"/>
              <w:bottom w:val="single" w:sz="4" w:space="0" w:color="auto"/>
              <w:right w:val="single" w:sz="4" w:space="0" w:color="auto"/>
            </w:tcBorders>
          </w:tcPr>
          <w:p w14:paraId="577D1668" w14:textId="0E85EB16" w:rsidR="00085973" w:rsidRPr="00830297" w:rsidRDefault="00A8397F" w:rsidP="00FA17C3">
            <w:pPr>
              <w:rPr>
                <w:sz w:val="20"/>
                <w:szCs w:val="20"/>
              </w:rPr>
            </w:pPr>
            <w:r>
              <w:rPr>
                <w:sz w:val="20"/>
                <w:szCs w:val="20"/>
              </w:rPr>
              <w:t>08-08-2022</w:t>
            </w:r>
          </w:p>
        </w:tc>
      </w:tr>
      <w:tr w:rsidR="00085973" w:rsidRPr="00830297" w14:paraId="5D958096" w14:textId="77777777" w:rsidTr="00A8397F">
        <w:trPr>
          <w:trHeight w:val="257"/>
          <w:jc w:val="center"/>
        </w:trPr>
        <w:tc>
          <w:tcPr>
            <w:tcW w:w="337" w:type="pct"/>
            <w:tcBorders>
              <w:top w:val="single" w:sz="4" w:space="0" w:color="auto"/>
              <w:left w:val="single" w:sz="4" w:space="0" w:color="auto"/>
              <w:bottom w:val="single" w:sz="4" w:space="0" w:color="auto"/>
              <w:right w:val="single" w:sz="4" w:space="0" w:color="auto"/>
            </w:tcBorders>
          </w:tcPr>
          <w:p w14:paraId="237B0683" w14:textId="5E182951" w:rsidR="00085973" w:rsidRPr="00830297" w:rsidRDefault="00085973" w:rsidP="00FA17C3">
            <w:pPr>
              <w:rPr>
                <w:sz w:val="20"/>
                <w:szCs w:val="20"/>
              </w:rPr>
            </w:pPr>
          </w:p>
        </w:tc>
        <w:tc>
          <w:tcPr>
            <w:tcW w:w="2507" w:type="pct"/>
            <w:tcBorders>
              <w:top w:val="single" w:sz="4" w:space="0" w:color="auto"/>
              <w:left w:val="single" w:sz="4" w:space="0" w:color="auto"/>
              <w:bottom w:val="single" w:sz="4" w:space="0" w:color="auto"/>
              <w:right w:val="single" w:sz="4" w:space="0" w:color="auto"/>
            </w:tcBorders>
          </w:tcPr>
          <w:p w14:paraId="41B58790" w14:textId="2F6F6F91" w:rsidR="00085973" w:rsidRPr="00830297" w:rsidRDefault="00085973" w:rsidP="00FA17C3">
            <w:pPr>
              <w:rPr>
                <w:sz w:val="20"/>
                <w:szCs w:val="20"/>
              </w:rPr>
            </w:pPr>
          </w:p>
        </w:tc>
        <w:tc>
          <w:tcPr>
            <w:tcW w:w="715" w:type="pct"/>
            <w:tcBorders>
              <w:top w:val="single" w:sz="4" w:space="0" w:color="auto"/>
              <w:left w:val="single" w:sz="4" w:space="0" w:color="auto"/>
              <w:bottom w:val="single" w:sz="4" w:space="0" w:color="auto"/>
              <w:right w:val="single" w:sz="4" w:space="0" w:color="auto"/>
            </w:tcBorders>
          </w:tcPr>
          <w:p w14:paraId="6C1E6D16" w14:textId="5FF5F153" w:rsidR="00085973" w:rsidRPr="00830297" w:rsidRDefault="00085973" w:rsidP="00FA17C3">
            <w:pPr>
              <w:rPr>
                <w:bCs/>
                <w:iCs/>
                <w:sz w:val="20"/>
                <w:szCs w:val="20"/>
              </w:rPr>
            </w:pPr>
          </w:p>
        </w:tc>
        <w:tc>
          <w:tcPr>
            <w:tcW w:w="722" w:type="pct"/>
            <w:tcBorders>
              <w:top w:val="single" w:sz="4" w:space="0" w:color="auto"/>
              <w:left w:val="single" w:sz="4" w:space="0" w:color="auto"/>
              <w:bottom w:val="single" w:sz="4" w:space="0" w:color="auto"/>
              <w:right w:val="single" w:sz="4" w:space="0" w:color="auto"/>
            </w:tcBorders>
          </w:tcPr>
          <w:p w14:paraId="664BD3A9" w14:textId="6315A487" w:rsidR="00085973" w:rsidRPr="00830297" w:rsidRDefault="00085973" w:rsidP="00FA17C3">
            <w:pPr>
              <w:rPr>
                <w:sz w:val="20"/>
                <w:szCs w:val="20"/>
              </w:rPr>
            </w:pPr>
          </w:p>
        </w:tc>
        <w:tc>
          <w:tcPr>
            <w:tcW w:w="718" w:type="pct"/>
            <w:tcBorders>
              <w:top w:val="single" w:sz="4" w:space="0" w:color="auto"/>
              <w:left w:val="single" w:sz="4" w:space="0" w:color="auto"/>
              <w:bottom w:val="single" w:sz="4" w:space="0" w:color="auto"/>
              <w:right w:val="single" w:sz="4" w:space="0" w:color="auto"/>
            </w:tcBorders>
          </w:tcPr>
          <w:p w14:paraId="0603DF2D" w14:textId="7D957EA6" w:rsidR="00085973" w:rsidRPr="00830297" w:rsidRDefault="00085973" w:rsidP="00FA17C3">
            <w:pPr>
              <w:rPr>
                <w:sz w:val="20"/>
                <w:szCs w:val="20"/>
              </w:rPr>
            </w:pPr>
          </w:p>
        </w:tc>
      </w:tr>
      <w:tr w:rsidR="00085973" w:rsidRPr="00830297" w14:paraId="0FAFB91B" w14:textId="77777777" w:rsidTr="00A8397F">
        <w:trPr>
          <w:trHeight w:val="257"/>
          <w:jc w:val="center"/>
        </w:trPr>
        <w:tc>
          <w:tcPr>
            <w:tcW w:w="337" w:type="pct"/>
            <w:tcBorders>
              <w:top w:val="single" w:sz="4" w:space="0" w:color="auto"/>
              <w:left w:val="single" w:sz="4" w:space="0" w:color="auto"/>
              <w:bottom w:val="single" w:sz="4" w:space="0" w:color="auto"/>
              <w:right w:val="single" w:sz="4" w:space="0" w:color="auto"/>
            </w:tcBorders>
          </w:tcPr>
          <w:p w14:paraId="4B72E005" w14:textId="05C46090" w:rsidR="00085973" w:rsidRPr="00830297" w:rsidRDefault="00085973" w:rsidP="00FA17C3">
            <w:pPr>
              <w:rPr>
                <w:sz w:val="20"/>
                <w:szCs w:val="20"/>
              </w:rPr>
            </w:pPr>
          </w:p>
        </w:tc>
        <w:tc>
          <w:tcPr>
            <w:tcW w:w="2507" w:type="pct"/>
            <w:tcBorders>
              <w:top w:val="single" w:sz="4" w:space="0" w:color="auto"/>
              <w:left w:val="single" w:sz="4" w:space="0" w:color="auto"/>
              <w:bottom w:val="single" w:sz="4" w:space="0" w:color="auto"/>
              <w:right w:val="single" w:sz="4" w:space="0" w:color="auto"/>
            </w:tcBorders>
          </w:tcPr>
          <w:p w14:paraId="1108FE61" w14:textId="4C236AC8" w:rsidR="00085973" w:rsidRPr="00830297" w:rsidRDefault="00085973" w:rsidP="00FA17C3">
            <w:pPr>
              <w:rPr>
                <w:sz w:val="20"/>
                <w:szCs w:val="20"/>
              </w:rPr>
            </w:pPr>
          </w:p>
        </w:tc>
        <w:tc>
          <w:tcPr>
            <w:tcW w:w="715" w:type="pct"/>
            <w:tcBorders>
              <w:top w:val="single" w:sz="4" w:space="0" w:color="auto"/>
              <w:left w:val="single" w:sz="4" w:space="0" w:color="auto"/>
              <w:bottom w:val="single" w:sz="4" w:space="0" w:color="auto"/>
              <w:right w:val="single" w:sz="4" w:space="0" w:color="auto"/>
            </w:tcBorders>
          </w:tcPr>
          <w:p w14:paraId="21138B8F" w14:textId="12C5DFB2" w:rsidR="00085973" w:rsidRPr="00830297" w:rsidRDefault="00085973" w:rsidP="00FA17C3">
            <w:pPr>
              <w:rPr>
                <w:bCs/>
                <w:iCs/>
                <w:sz w:val="20"/>
                <w:szCs w:val="20"/>
              </w:rPr>
            </w:pPr>
          </w:p>
        </w:tc>
        <w:tc>
          <w:tcPr>
            <w:tcW w:w="722" w:type="pct"/>
            <w:tcBorders>
              <w:top w:val="single" w:sz="4" w:space="0" w:color="auto"/>
              <w:left w:val="single" w:sz="4" w:space="0" w:color="auto"/>
              <w:bottom w:val="single" w:sz="4" w:space="0" w:color="auto"/>
              <w:right w:val="single" w:sz="4" w:space="0" w:color="auto"/>
            </w:tcBorders>
          </w:tcPr>
          <w:p w14:paraId="05DDA8E5" w14:textId="1C4B609B" w:rsidR="00085973" w:rsidRPr="00830297" w:rsidRDefault="00085973" w:rsidP="00FA17C3">
            <w:pPr>
              <w:rPr>
                <w:sz w:val="20"/>
                <w:szCs w:val="20"/>
              </w:rPr>
            </w:pPr>
          </w:p>
        </w:tc>
        <w:tc>
          <w:tcPr>
            <w:tcW w:w="718" w:type="pct"/>
            <w:tcBorders>
              <w:top w:val="single" w:sz="4" w:space="0" w:color="auto"/>
              <w:left w:val="single" w:sz="4" w:space="0" w:color="auto"/>
              <w:bottom w:val="single" w:sz="4" w:space="0" w:color="auto"/>
              <w:right w:val="single" w:sz="4" w:space="0" w:color="auto"/>
            </w:tcBorders>
          </w:tcPr>
          <w:p w14:paraId="23A518A8" w14:textId="2293D47C" w:rsidR="00085973" w:rsidRPr="00830297" w:rsidRDefault="00085973" w:rsidP="00FA17C3">
            <w:pPr>
              <w:rPr>
                <w:sz w:val="20"/>
                <w:szCs w:val="20"/>
              </w:rPr>
            </w:pPr>
          </w:p>
        </w:tc>
      </w:tr>
      <w:tr w:rsidR="00085973" w:rsidRPr="00830297" w14:paraId="45F57A05" w14:textId="77777777" w:rsidTr="00A8397F">
        <w:trPr>
          <w:trHeight w:val="257"/>
          <w:jc w:val="center"/>
        </w:trPr>
        <w:tc>
          <w:tcPr>
            <w:tcW w:w="337" w:type="pct"/>
            <w:tcBorders>
              <w:top w:val="single" w:sz="4" w:space="0" w:color="auto"/>
              <w:left w:val="single" w:sz="4" w:space="0" w:color="auto"/>
              <w:bottom w:val="single" w:sz="4" w:space="0" w:color="auto"/>
              <w:right w:val="single" w:sz="4" w:space="0" w:color="auto"/>
            </w:tcBorders>
          </w:tcPr>
          <w:p w14:paraId="635CECA4" w14:textId="17CD8685" w:rsidR="00085973" w:rsidRPr="00830297" w:rsidRDefault="00085973" w:rsidP="00FA17C3">
            <w:pPr>
              <w:rPr>
                <w:sz w:val="20"/>
                <w:szCs w:val="20"/>
              </w:rPr>
            </w:pPr>
          </w:p>
        </w:tc>
        <w:tc>
          <w:tcPr>
            <w:tcW w:w="2507" w:type="pct"/>
            <w:tcBorders>
              <w:top w:val="single" w:sz="4" w:space="0" w:color="auto"/>
              <w:left w:val="single" w:sz="4" w:space="0" w:color="auto"/>
              <w:bottom w:val="single" w:sz="4" w:space="0" w:color="auto"/>
              <w:right w:val="single" w:sz="4" w:space="0" w:color="auto"/>
            </w:tcBorders>
          </w:tcPr>
          <w:p w14:paraId="7EEF3361" w14:textId="3623D5CA" w:rsidR="00085973" w:rsidRPr="00830297" w:rsidRDefault="00085973" w:rsidP="00FA17C3">
            <w:pPr>
              <w:rPr>
                <w:sz w:val="20"/>
                <w:szCs w:val="20"/>
              </w:rPr>
            </w:pPr>
          </w:p>
        </w:tc>
        <w:tc>
          <w:tcPr>
            <w:tcW w:w="715" w:type="pct"/>
            <w:tcBorders>
              <w:top w:val="single" w:sz="4" w:space="0" w:color="auto"/>
              <w:left w:val="single" w:sz="4" w:space="0" w:color="auto"/>
              <w:bottom w:val="single" w:sz="4" w:space="0" w:color="auto"/>
              <w:right w:val="single" w:sz="4" w:space="0" w:color="auto"/>
            </w:tcBorders>
          </w:tcPr>
          <w:p w14:paraId="39930E58" w14:textId="00B18ABB" w:rsidR="00085973" w:rsidRPr="00830297" w:rsidRDefault="00085973" w:rsidP="00FA17C3">
            <w:pPr>
              <w:rPr>
                <w:bCs/>
                <w:iCs/>
                <w:sz w:val="20"/>
                <w:szCs w:val="20"/>
              </w:rPr>
            </w:pPr>
          </w:p>
        </w:tc>
        <w:tc>
          <w:tcPr>
            <w:tcW w:w="722" w:type="pct"/>
            <w:tcBorders>
              <w:top w:val="single" w:sz="4" w:space="0" w:color="auto"/>
              <w:left w:val="single" w:sz="4" w:space="0" w:color="auto"/>
              <w:bottom w:val="single" w:sz="4" w:space="0" w:color="auto"/>
              <w:right w:val="single" w:sz="4" w:space="0" w:color="auto"/>
            </w:tcBorders>
          </w:tcPr>
          <w:p w14:paraId="599A146B" w14:textId="2F663FFD" w:rsidR="00085973" w:rsidRPr="00830297" w:rsidRDefault="00085973" w:rsidP="00FA17C3">
            <w:pPr>
              <w:rPr>
                <w:sz w:val="20"/>
                <w:szCs w:val="20"/>
              </w:rPr>
            </w:pPr>
          </w:p>
        </w:tc>
        <w:tc>
          <w:tcPr>
            <w:tcW w:w="718" w:type="pct"/>
            <w:tcBorders>
              <w:top w:val="single" w:sz="4" w:space="0" w:color="auto"/>
              <w:left w:val="single" w:sz="4" w:space="0" w:color="auto"/>
              <w:bottom w:val="single" w:sz="4" w:space="0" w:color="auto"/>
              <w:right w:val="single" w:sz="4" w:space="0" w:color="auto"/>
            </w:tcBorders>
          </w:tcPr>
          <w:p w14:paraId="070E2D88" w14:textId="59B928FC" w:rsidR="00085973" w:rsidRPr="00830297" w:rsidRDefault="00085973" w:rsidP="00FA17C3">
            <w:pPr>
              <w:rPr>
                <w:sz w:val="20"/>
                <w:szCs w:val="20"/>
              </w:rPr>
            </w:pPr>
          </w:p>
        </w:tc>
      </w:tr>
      <w:tr w:rsidR="00085973" w:rsidRPr="00830297" w14:paraId="7EEA4C8A" w14:textId="77777777" w:rsidTr="00A8397F">
        <w:trPr>
          <w:trHeight w:val="257"/>
          <w:jc w:val="center"/>
        </w:trPr>
        <w:tc>
          <w:tcPr>
            <w:tcW w:w="337" w:type="pct"/>
            <w:tcBorders>
              <w:top w:val="single" w:sz="4" w:space="0" w:color="auto"/>
              <w:left w:val="single" w:sz="4" w:space="0" w:color="auto"/>
              <w:bottom w:val="single" w:sz="4" w:space="0" w:color="auto"/>
              <w:right w:val="single" w:sz="4" w:space="0" w:color="auto"/>
            </w:tcBorders>
          </w:tcPr>
          <w:p w14:paraId="7556F3D2" w14:textId="28323160" w:rsidR="00085973" w:rsidRPr="00830297" w:rsidRDefault="00085973" w:rsidP="00FA17C3">
            <w:pPr>
              <w:rPr>
                <w:sz w:val="20"/>
                <w:szCs w:val="20"/>
              </w:rPr>
            </w:pPr>
          </w:p>
        </w:tc>
        <w:tc>
          <w:tcPr>
            <w:tcW w:w="2507" w:type="pct"/>
            <w:tcBorders>
              <w:top w:val="single" w:sz="4" w:space="0" w:color="auto"/>
              <w:left w:val="single" w:sz="4" w:space="0" w:color="auto"/>
              <w:bottom w:val="single" w:sz="4" w:space="0" w:color="auto"/>
              <w:right w:val="single" w:sz="4" w:space="0" w:color="auto"/>
            </w:tcBorders>
          </w:tcPr>
          <w:p w14:paraId="23D4AF9C" w14:textId="5EB38640" w:rsidR="00085973" w:rsidRPr="00830297" w:rsidRDefault="00085973" w:rsidP="00FA17C3">
            <w:pPr>
              <w:rPr>
                <w:sz w:val="20"/>
                <w:szCs w:val="20"/>
              </w:rPr>
            </w:pPr>
          </w:p>
        </w:tc>
        <w:tc>
          <w:tcPr>
            <w:tcW w:w="715" w:type="pct"/>
            <w:tcBorders>
              <w:top w:val="single" w:sz="4" w:space="0" w:color="auto"/>
              <w:left w:val="single" w:sz="4" w:space="0" w:color="auto"/>
              <w:bottom w:val="single" w:sz="4" w:space="0" w:color="auto"/>
              <w:right w:val="single" w:sz="4" w:space="0" w:color="auto"/>
            </w:tcBorders>
          </w:tcPr>
          <w:p w14:paraId="3161B1F0" w14:textId="3177DF05" w:rsidR="00085973" w:rsidRPr="00830297" w:rsidRDefault="00085973" w:rsidP="00FA17C3">
            <w:pPr>
              <w:rPr>
                <w:bCs/>
                <w:iCs/>
                <w:sz w:val="20"/>
                <w:szCs w:val="20"/>
              </w:rPr>
            </w:pPr>
          </w:p>
        </w:tc>
        <w:tc>
          <w:tcPr>
            <w:tcW w:w="722" w:type="pct"/>
            <w:tcBorders>
              <w:top w:val="single" w:sz="4" w:space="0" w:color="auto"/>
              <w:left w:val="single" w:sz="4" w:space="0" w:color="auto"/>
              <w:bottom w:val="single" w:sz="4" w:space="0" w:color="auto"/>
              <w:right w:val="single" w:sz="4" w:space="0" w:color="auto"/>
            </w:tcBorders>
          </w:tcPr>
          <w:p w14:paraId="0BF41BDB" w14:textId="3631D9A8" w:rsidR="00085973" w:rsidRPr="00830297" w:rsidRDefault="00085973" w:rsidP="00FA17C3">
            <w:pPr>
              <w:rPr>
                <w:sz w:val="20"/>
                <w:szCs w:val="20"/>
              </w:rPr>
            </w:pPr>
          </w:p>
        </w:tc>
        <w:tc>
          <w:tcPr>
            <w:tcW w:w="718" w:type="pct"/>
            <w:tcBorders>
              <w:top w:val="single" w:sz="4" w:space="0" w:color="auto"/>
              <w:left w:val="single" w:sz="4" w:space="0" w:color="auto"/>
              <w:bottom w:val="single" w:sz="4" w:space="0" w:color="auto"/>
              <w:right w:val="single" w:sz="4" w:space="0" w:color="auto"/>
            </w:tcBorders>
          </w:tcPr>
          <w:p w14:paraId="2EDD67F7" w14:textId="42AE5CFB" w:rsidR="00085973" w:rsidRPr="00830297" w:rsidRDefault="00085973" w:rsidP="00FA17C3">
            <w:pPr>
              <w:rPr>
                <w:sz w:val="20"/>
                <w:szCs w:val="20"/>
              </w:rPr>
            </w:pPr>
          </w:p>
        </w:tc>
      </w:tr>
      <w:tr w:rsidR="00085973" w:rsidRPr="00830297" w14:paraId="7CBDAE42" w14:textId="77777777" w:rsidTr="00A8397F">
        <w:trPr>
          <w:trHeight w:val="257"/>
          <w:jc w:val="center"/>
        </w:trPr>
        <w:tc>
          <w:tcPr>
            <w:tcW w:w="337" w:type="pct"/>
            <w:tcBorders>
              <w:top w:val="single" w:sz="4" w:space="0" w:color="auto"/>
              <w:left w:val="single" w:sz="4" w:space="0" w:color="auto"/>
              <w:bottom w:val="single" w:sz="4" w:space="0" w:color="auto"/>
              <w:right w:val="single" w:sz="4" w:space="0" w:color="auto"/>
            </w:tcBorders>
          </w:tcPr>
          <w:p w14:paraId="7D8733DA" w14:textId="5CB16678" w:rsidR="00085973" w:rsidRPr="00830297" w:rsidRDefault="00085973" w:rsidP="00FA17C3">
            <w:pPr>
              <w:rPr>
                <w:sz w:val="20"/>
                <w:szCs w:val="20"/>
              </w:rPr>
            </w:pPr>
          </w:p>
        </w:tc>
        <w:tc>
          <w:tcPr>
            <w:tcW w:w="2507" w:type="pct"/>
            <w:tcBorders>
              <w:top w:val="single" w:sz="4" w:space="0" w:color="auto"/>
              <w:left w:val="single" w:sz="4" w:space="0" w:color="auto"/>
              <w:bottom w:val="single" w:sz="4" w:space="0" w:color="auto"/>
              <w:right w:val="single" w:sz="4" w:space="0" w:color="auto"/>
            </w:tcBorders>
          </w:tcPr>
          <w:p w14:paraId="46DD3DC9" w14:textId="036F3784" w:rsidR="00085973" w:rsidRPr="00830297" w:rsidRDefault="00085973" w:rsidP="00FA17C3">
            <w:pPr>
              <w:rPr>
                <w:sz w:val="20"/>
                <w:szCs w:val="20"/>
              </w:rPr>
            </w:pPr>
          </w:p>
        </w:tc>
        <w:tc>
          <w:tcPr>
            <w:tcW w:w="715" w:type="pct"/>
            <w:tcBorders>
              <w:top w:val="single" w:sz="4" w:space="0" w:color="auto"/>
              <w:left w:val="single" w:sz="4" w:space="0" w:color="auto"/>
              <w:bottom w:val="single" w:sz="4" w:space="0" w:color="auto"/>
              <w:right w:val="single" w:sz="4" w:space="0" w:color="auto"/>
            </w:tcBorders>
          </w:tcPr>
          <w:p w14:paraId="30983125" w14:textId="20234087" w:rsidR="00085973" w:rsidRPr="00830297" w:rsidRDefault="00085973" w:rsidP="00FA17C3">
            <w:pPr>
              <w:rPr>
                <w:bCs/>
                <w:iCs/>
                <w:sz w:val="20"/>
                <w:szCs w:val="20"/>
              </w:rPr>
            </w:pPr>
          </w:p>
        </w:tc>
        <w:tc>
          <w:tcPr>
            <w:tcW w:w="722" w:type="pct"/>
            <w:tcBorders>
              <w:top w:val="single" w:sz="4" w:space="0" w:color="auto"/>
              <w:left w:val="single" w:sz="4" w:space="0" w:color="auto"/>
              <w:bottom w:val="single" w:sz="4" w:space="0" w:color="auto"/>
              <w:right w:val="single" w:sz="4" w:space="0" w:color="auto"/>
            </w:tcBorders>
          </w:tcPr>
          <w:p w14:paraId="59A22C36" w14:textId="2668DE42" w:rsidR="00085973" w:rsidRPr="00830297" w:rsidRDefault="00085973" w:rsidP="00FA17C3">
            <w:pPr>
              <w:rPr>
                <w:sz w:val="20"/>
                <w:szCs w:val="20"/>
              </w:rPr>
            </w:pPr>
          </w:p>
        </w:tc>
        <w:tc>
          <w:tcPr>
            <w:tcW w:w="718" w:type="pct"/>
            <w:tcBorders>
              <w:top w:val="single" w:sz="4" w:space="0" w:color="auto"/>
              <w:left w:val="single" w:sz="4" w:space="0" w:color="auto"/>
              <w:bottom w:val="single" w:sz="4" w:space="0" w:color="auto"/>
              <w:right w:val="single" w:sz="4" w:space="0" w:color="auto"/>
            </w:tcBorders>
          </w:tcPr>
          <w:p w14:paraId="3D86F04E" w14:textId="289CE779" w:rsidR="00085973" w:rsidRPr="00830297" w:rsidRDefault="00085973" w:rsidP="00FA17C3">
            <w:pPr>
              <w:rPr>
                <w:sz w:val="20"/>
                <w:szCs w:val="20"/>
              </w:rPr>
            </w:pPr>
          </w:p>
        </w:tc>
      </w:tr>
      <w:tr w:rsidR="00085973" w:rsidRPr="00830297" w14:paraId="2BBD5C74" w14:textId="77777777" w:rsidTr="00A8397F">
        <w:trPr>
          <w:trHeight w:val="257"/>
          <w:jc w:val="center"/>
        </w:trPr>
        <w:tc>
          <w:tcPr>
            <w:tcW w:w="337" w:type="pct"/>
            <w:tcBorders>
              <w:top w:val="single" w:sz="4" w:space="0" w:color="auto"/>
              <w:left w:val="single" w:sz="4" w:space="0" w:color="auto"/>
              <w:bottom w:val="single" w:sz="4" w:space="0" w:color="auto"/>
              <w:right w:val="single" w:sz="4" w:space="0" w:color="auto"/>
            </w:tcBorders>
          </w:tcPr>
          <w:p w14:paraId="13D31696" w14:textId="77777777" w:rsidR="00085973" w:rsidRPr="00830297" w:rsidRDefault="00085973" w:rsidP="00FA17C3">
            <w:pPr>
              <w:rPr>
                <w:sz w:val="20"/>
                <w:szCs w:val="20"/>
              </w:rPr>
            </w:pPr>
          </w:p>
        </w:tc>
        <w:tc>
          <w:tcPr>
            <w:tcW w:w="2507" w:type="pct"/>
            <w:tcBorders>
              <w:top w:val="single" w:sz="4" w:space="0" w:color="auto"/>
              <w:left w:val="single" w:sz="4" w:space="0" w:color="auto"/>
              <w:bottom w:val="single" w:sz="4" w:space="0" w:color="auto"/>
              <w:right w:val="single" w:sz="4" w:space="0" w:color="auto"/>
            </w:tcBorders>
          </w:tcPr>
          <w:p w14:paraId="24162EAB" w14:textId="77777777" w:rsidR="00085973" w:rsidRPr="00830297" w:rsidRDefault="00085973" w:rsidP="00FA17C3">
            <w:pPr>
              <w:rPr>
                <w:sz w:val="20"/>
                <w:szCs w:val="20"/>
              </w:rPr>
            </w:pPr>
          </w:p>
        </w:tc>
        <w:tc>
          <w:tcPr>
            <w:tcW w:w="715" w:type="pct"/>
            <w:tcBorders>
              <w:top w:val="single" w:sz="4" w:space="0" w:color="auto"/>
              <w:left w:val="single" w:sz="4" w:space="0" w:color="auto"/>
              <w:bottom w:val="single" w:sz="4" w:space="0" w:color="auto"/>
              <w:right w:val="single" w:sz="4" w:space="0" w:color="auto"/>
            </w:tcBorders>
          </w:tcPr>
          <w:p w14:paraId="0209161D" w14:textId="77777777" w:rsidR="00085973" w:rsidRPr="00830297" w:rsidRDefault="00085973" w:rsidP="00FA17C3">
            <w:pPr>
              <w:rPr>
                <w:bCs/>
                <w:iCs/>
                <w:sz w:val="20"/>
                <w:szCs w:val="20"/>
              </w:rPr>
            </w:pPr>
          </w:p>
        </w:tc>
        <w:tc>
          <w:tcPr>
            <w:tcW w:w="722" w:type="pct"/>
            <w:tcBorders>
              <w:top w:val="single" w:sz="4" w:space="0" w:color="auto"/>
              <w:left w:val="single" w:sz="4" w:space="0" w:color="auto"/>
              <w:bottom w:val="single" w:sz="4" w:space="0" w:color="auto"/>
              <w:right w:val="single" w:sz="4" w:space="0" w:color="auto"/>
            </w:tcBorders>
          </w:tcPr>
          <w:p w14:paraId="31A20EA8" w14:textId="77777777" w:rsidR="00085973" w:rsidRPr="00830297" w:rsidRDefault="00085973" w:rsidP="00FA17C3">
            <w:pPr>
              <w:rPr>
                <w:sz w:val="20"/>
                <w:szCs w:val="20"/>
              </w:rPr>
            </w:pPr>
          </w:p>
        </w:tc>
        <w:tc>
          <w:tcPr>
            <w:tcW w:w="718" w:type="pct"/>
            <w:tcBorders>
              <w:top w:val="single" w:sz="4" w:space="0" w:color="auto"/>
              <w:left w:val="single" w:sz="4" w:space="0" w:color="auto"/>
              <w:bottom w:val="single" w:sz="4" w:space="0" w:color="auto"/>
              <w:right w:val="single" w:sz="4" w:space="0" w:color="auto"/>
            </w:tcBorders>
          </w:tcPr>
          <w:p w14:paraId="31191EBF" w14:textId="77777777" w:rsidR="00085973" w:rsidRPr="00830297" w:rsidRDefault="00085973" w:rsidP="00FA17C3">
            <w:pPr>
              <w:rPr>
                <w:sz w:val="20"/>
                <w:szCs w:val="20"/>
              </w:rPr>
            </w:pPr>
          </w:p>
        </w:tc>
      </w:tr>
      <w:tr w:rsidR="00085973" w:rsidRPr="00830297" w14:paraId="35D2AF32" w14:textId="77777777" w:rsidTr="00A8397F">
        <w:trPr>
          <w:trHeight w:val="257"/>
          <w:jc w:val="center"/>
        </w:trPr>
        <w:tc>
          <w:tcPr>
            <w:tcW w:w="337" w:type="pct"/>
            <w:tcBorders>
              <w:top w:val="single" w:sz="4" w:space="0" w:color="auto"/>
              <w:left w:val="single" w:sz="4" w:space="0" w:color="auto"/>
              <w:bottom w:val="single" w:sz="4" w:space="0" w:color="auto"/>
              <w:right w:val="single" w:sz="4" w:space="0" w:color="auto"/>
            </w:tcBorders>
          </w:tcPr>
          <w:p w14:paraId="1A90AA88" w14:textId="77777777" w:rsidR="00085973" w:rsidRPr="00830297" w:rsidRDefault="00085973" w:rsidP="00FA17C3">
            <w:pPr>
              <w:rPr>
                <w:sz w:val="20"/>
                <w:szCs w:val="20"/>
              </w:rPr>
            </w:pPr>
          </w:p>
        </w:tc>
        <w:tc>
          <w:tcPr>
            <w:tcW w:w="2507" w:type="pct"/>
            <w:tcBorders>
              <w:top w:val="single" w:sz="4" w:space="0" w:color="auto"/>
              <w:left w:val="single" w:sz="4" w:space="0" w:color="auto"/>
              <w:bottom w:val="single" w:sz="4" w:space="0" w:color="auto"/>
              <w:right w:val="single" w:sz="4" w:space="0" w:color="auto"/>
            </w:tcBorders>
          </w:tcPr>
          <w:p w14:paraId="3AEAD576" w14:textId="77777777" w:rsidR="00085973" w:rsidRPr="00830297" w:rsidRDefault="00085973" w:rsidP="00FA17C3">
            <w:pPr>
              <w:rPr>
                <w:sz w:val="20"/>
                <w:szCs w:val="20"/>
              </w:rPr>
            </w:pPr>
          </w:p>
        </w:tc>
        <w:tc>
          <w:tcPr>
            <w:tcW w:w="715" w:type="pct"/>
            <w:tcBorders>
              <w:top w:val="single" w:sz="4" w:space="0" w:color="auto"/>
              <w:left w:val="single" w:sz="4" w:space="0" w:color="auto"/>
              <w:bottom w:val="single" w:sz="4" w:space="0" w:color="auto"/>
              <w:right w:val="single" w:sz="4" w:space="0" w:color="auto"/>
            </w:tcBorders>
          </w:tcPr>
          <w:p w14:paraId="5E0BD03B" w14:textId="77777777" w:rsidR="00085973" w:rsidRPr="00830297" w:rsidRDefault="00085973" w:rsidP="00FA17C3">
            <w:pPr>
              <w:rPr>
                <w:bCs/>
                <w:iCs/>
                <w:sz w:val="20"/>
                <w:szCs w:val="20"/>
              </w:rPr>
            </w:pPr>
          </w:p>
        </w:tc>
        <w:tc>
          <w:tcPr>
            <w:tcW w:w="722" w:type="pct"/>
            <w:tcBorders>
              <w:top w:val="single" w:sz="4" w:space="0" w:color="auto"/>
              <w:left w:val="single" w:sz="4" w:space="0" w:color="auto"/>
              <w:bottom w:val="single" w:sz="4" w:space="0" w:color="auto"/>
              <w:right w:val="single" w:sz="4" w:space="0" w:color="auto"/>
            </w:tcBorders>
          </w:tcPr>
          <w:p w14:paraId="06404266" w14:textId="77777777" w:rsidR="00085973" w:rsidRPr="00830297" w:rsidRDefault="00085973" w:rsidP="00FA17C3">
            <w:pPr>
              <w:rPr>
                <w:sz w:val="20"/>
                <w:szCs w:val="20"/>
              </w:rPr>
            </w:pPr>
          </w:p>
        </w:tc>
        <w:tc>
          <w:tcPr>
            <w:tcW w:w="718" w:type="pct"/>
            <w:tcBorders>
              <w:top w:val="single" w:sz="4" w:space="0" w:color="auto"/>
              <w:left w:val="single" w:sz="4" w:space="0" w:color="auto"/>
              <w:bottom w:val="single" w:sz="4" w:space="0" w:color="auto"/>
              <w:right w:val="single" w:sz="4" w:space="0" w:color="auto"/>
            </w:tcBorders>
          </w:tcPr>
          <w:p w14:paraId="6A400A29" w14:textId="77777777" w:rsidR="00085973" w:rsidRPr="00830297" w:rsidRDefault="00085973" w:rsidP="00FA17C3">
            <w:pPr>
              <w:rPr>
                <w:sz w:val="20"/>
                <w:szCs w:val="20"/>
              </w:rPr>
            </w:pPr>
          </w:p>
        </w:tc>
      </w:tr>
      <w:tr w:rsidR="00085973" w:rsidRPr="00830297" w14:paraId="32E6F8D2" w14:textId="77777777" w:rsidTr="00A8397F">
        <w:trPr>
          <w:trHeight w:val="257"/>
          <w:jc w:val="center"/>
        </w:trPr>
        <w:tc>
          <w:tcPr>
            <w:tcW w:w="337" w:type="pct"/>
            <w:tcBorders>
              <w:top w:val="single" w:sz="4" w:space="0" w:color="auto"/>
              <w:left w:val="single" w:sz="4" w:space="0" w:color="auto"/>
              <w:bottom w:val="single" w:sz="4" w:space="0" w:color="auto"/>
              <w:right w:val="single" w:sz="4" w:space="0" w:color="auto"/>
            </w:tcBorders>
          </w:tcPr>
          <w:p w14:paraId="6E97E502" w14:textId="77777777" w:rsidR="00085973" w:rsidRPr="00830297" w:rsidRDefault="00085973" w:rsidP="00FA17C3">
            <w:pPr>
              <w:rPr>
                <w:sz w:val="20"/>
                <w:szCs w:val="20"/>
              </w:rPr>
            </w:pPr>
          </w:p>
        </w:tc>
        <w:tc>
          <w:tcPr>
            <w:tcW w:w="2507" w:type="pct"/>
            <w:tcBorders>
              <w:top w:val="single" w:sz="4" w:space="0" w:color="auto"/>
              <w:left w:val="single" w:sz="4" w:space="0" w:color="auto"/>
              <w:bottom w:val="single" w:sz="4" w:space="0" w:color="auto"/>
              <w:right w:val="single" w:sz="4" w:space="0" w:color="auto"/>
            </w:tcBorders>
          </w:tcPr>
          <w:p w14:paraId="54396161" w14:textId="77777777" w:rsidR="00085973" w:rsidRPr="00830297" w:rsidRDefault="00085973" w:rsidP="00FA17C3">
            <w:pPr>
              <w:rPr>
                <w:sz w:val="20"/>
                <w:szCs w:val="20"/>
              </w:rPr>
            </w:pPr>
          </w:p>
        </w:tc>
        <w:tc>
          <w:tcPr>
            <w:tcW w:w="715" w:type="pct"/>
            <w:tcBorders>
              <w:top w:val="single" w:sz="4" w:space="0" w:color="auto"/>
              <w:left w:val="single" w:sz="4" w:space="0" w:color="auto"/>
              <w:bottom w:val="single" w:sz="4" w:space="0" w:color="auto"/>
              <w:right w:val="single" w:sz="4" w:space="0" w:color="auto"/>
            </w:tcBorders>
          </w:tcPr>
          <w:p w14:paraId="3859B68E" w14:textId="77777777" w:rsidR="00085973" w:rsidRPr="00830297" w:rsidRDefault="00085973" w:rsidP="00FA17C3">
            <w:pPr>
              <w:rPr>
                <w:bCs/>
                <w:iCs/>
                <w:sz w:val="20"/>
                <w:szCs w:val="20"/>
              </w:rPr>
            </w:pPr>
          </w:p>
        </w:tc>
        <w:tc>
          <w:tcPr>
            <w:tcW w:w="722" w:type="pct"/>
            <w:tcBorders>
              <w:top w:val="single" w:sz="4" w:space="0" w:color="auto"/>
              <w:left w:val="single" w:sz="4" w:space="0" w:color="auto"/>
              <w:bottom w:val="single" w:sz="4" w:space="0" w:color="auto"/>
              <w:right w:val="single" w:sz="4" w:space="0" w:color="auto"/>
            </w:tcBorders>
          </w:tcPr>
          <w:p w14:paraId="64BD4A23" w14:textId="77777777" w:rsidR="00085973" w:rsidRPr="00830297" w:rsidRDefault="00085973" w:rsidP="00FA17C3">
            <w:pPr>
              <w:rPr>
                <w:sz w:val="20"/>
                <w:szCs w:val="20"/>
              </w:rPr>
            </w:pPr>
          </w:p>
        </w:tc>
        <w:tc>
          <w:tcPr>
            <w:tcW w:w="718" w:type="pct"/>
            <w:tcBorders>
              <w:top w:val="single" w:sz="4" w:space="0" w:color="auto"/>
              <w:left w:val="single" w:sz="4" w:space="0" w:color="auto"/>
              <w:bottom w:val="single" w:sz="4" w:space="0" w:color="auto"/>
              <w:right w:val="single" w:sz="4" w:space="0" w:color="auto"/>
            </w:tcBorders>
          </w:tcPr>
          <w:p w14:paraId="4CD217C7" w14:textId="77777777" w:rsidR="00085973" w:rsidRPr="00830297" w:rsidRDefault="00085973" w:rsidP="00FA17C3">
            <w:pPr>
              <w:rPr>
                <w:sz w:val="20"/>
                <w:szCs w:val="20"/>
              </w:rPr>
            </w:pPr>
          </w:p>
        </w:tc>
      </w:tr>
      <w:tr w:rsidR="00085973" w:rsidRPr="00830297" w14:paraId="525CFD10" w14:textId="77777777" w:rsidTr="00A8397F">
        <w:trPr>
          <w:trHeight w:val="257"/>
          <w:jc w:val="center"/>
        </w:trPr>
        <w:tc>
          <w:tcPr>
            <w:tcW w:w="337" w:type="pct"/>
            <w:tcBorders>
              <w:top w:val="single" w:sz="4" w:space="0" w:color="auto"/>
              <w:left w:val="single" w:sz="4" w:space="0" w:color="auto"/>
              <w:bottom w:val="single" w:sz="4" w:space="0" w:color="auto"/>
              <w:right w:val="single" w:sz="4" w:space="0" w:color="auto"/>
            </w:tcBorders>
          </w:tcPr>
          <w:p w14:paraId="61E46DB9" w14:textId="77777777" w:rsidR="00085973" w:rsidRPr="00830297" w:rsidRDefault="00085973" w:rsidP="00FA17C3">
            <w:pPr>
              <w:rPr>
                <w:sz w:val="20"/>
                <w:szCs w:val="20"/>
              </w:rPr>
            </w:pPr>
          </w:p>
        </w:tc>
        <w:tc>
          <w:tcPr>
            <w:tcW w:w="2507" w:type="pct"/>
            <w:tcBorders>
              <w:top w:val="single" w:sz="4" w:space="0" w:color="auto"/>
              <w:left w:val="single" w:sz="4" w:space="0" w:color="auto"/>
              <w:bottom w:val="single" w:sz="4" w:space="0" w:color="auto"/>
              <w:right w:val="single" w:sz="4" w:space="0" w:color="auto"/>
            </w:tcBorders>
          </w:tcPr>
          <w:p w14:paraId="13523F75" w14:textId="77777777" w:rsidR="00085973" w:rsidRPr="00830297" w:rsidRDefault="00085973" w:rsidP="00FA17C3">
            <w:pPr>
              <w:rPr>
                <w:sz w:val="20"/>
                <w:szCs w:val="20"/>
              </w:rPr>
            </w:pPr>
          </w:p>
        </w:tc>
        <w:tc>
          <w:tcPr>
            <w:tcW w:w="715" w:type="pct"/>
            <w:tcBorders>
              <w:top w:val="single" w:sz="4" w:space="0" w:color="auto"/>
              <w:left w:val="single" w:sz="4" w:space="0" w:color="auto"/>
              <w:bottom w:val="single" w:sz="4" w:space="0" w:color="auto"/>
              <w:right w:val="single" w:sz="4" w:space="0" w:color="auto"/>
            </w:tcBorders>
          </w:tcPr>
          <w:p w14:paraId="55591889" w14:textId="77777777" w:rsidR="00085973" w:rsidRPr="00830297" w:rsidRDefault="00085973" w:rsidP="00FA17C3">
            <w:pPr>
              <w:rPr>
                <w:bCs/>
                <w:iCs/>
                <w:sz w:val="20"/>
                <w:szCs w:val="20"/>
              </w:rPr>
            </w:pPr>
          </w:p>
        </w:tc>
        <w:tc>
          <w:tcPr>
            <w:tcW w:w="722" w:type="pct"/>
            <w:tcBorders>
              <w:top w:val="single" w:sz="4" w:space="0" w:color="auto"/>
              <w:left w:val="single" w:sz="4" w:space="0" w:color="auto"/>
              <w:bottom w:val="single" w:sz="4" w:space="0" w:color="auto"/>
              <w:right w:val="single" w:sz="4" w:space="0" w:color="auto"/>
            </w:tcBorders>
          </w:tcPr>
          <w:p w14:paraId="560F1FFA" w14:textId="77777777" w:rsidR="00085973" w:rsidRPr="00830297" w:rsidRDefault="00085973" w:rsidP="00FA17C3">
            <w:pPr>
              <w:rPr>
                <w:sz w:val="20"/>
                <w:szCs w:val="20"/>
              </w:rPr>
            </w:pPr>
          </w:p>
        </w:tc>
        <w:tc>
          <w:tcPr>
            <w:tcW w:w="718" w:type="pct"/>
            <w:tcBorders>
              <w:top w:val="single" w:sz="4" w:space="0" w:color="auto"/>
              <w:left w:val="single" w:sz="4" w:space="0" w:color="auto"/>
              <w:bottom w:val="single" w:sz="4" w:space="0" w:color="auto"/>
              <w:right w:val="single" w:sz="4" w:space="0" w:color="auto"/>
            </w:tcBorders>
          </w:tcPr>
          <w:p w14:paraId="1D4A9C5A" w14:textId="77777777" w:rsidR="00085973" w:rsidRPr="00830297" w:rsidRDefault="00085973" w:rsidP="00FA17C3">
            <w:pPr>
              <w:rPr>
                <w:sz w:val="20"/>
                <w:szCs w:val="20"/>
              </w:rPr>
            </w:pPr>
          </w:p>
        </w:tc>
      </w:tr>
      <w:bookmarkEnd w:id="1"/>
    </w:tbl>
    <w:p w14:paraId="1B5FC125" w14:textId="3F495342" w:rsidR="00A96475" w:rsidRDefault="00A96475"/>
    <w:sdt>
      <w:sdtPr>
        <w:rPr>
          <w:rFonts w:ascii="Times New Roman" w:eastAsia="Times New Roman" w:hAnsi="Times New Roman" w:cs="Times New Roman"/>
          <w:b/>
          <w:bCs w:val="0"/>
          <w:sz w:val="24"/>
          <w:szCs w:val="24"/>
        </w:rPr>
        <w:id w:val="1485202301"/>
        <w:docPartObj>
          <w:docPartGallery w:val="Table of Contents"/>
          <w:docPartUnique/>
        </w:docPartObj>
      </w:sdtPr>
      <w:sdtEndPr>
        <w:rPr>
          <w:rFonts w:asciiTheme="minorHAnsi" w:hAnsiTheme="minorHAnsi"/>
          <w:b w:val="0"/>
          <w:noProof/>
        </w:rPr>
      </w:sdtEndPr>
      <w:sdtContent>
        <w:p w14:paraId="7A00895D" w14:textId="0ABD4DD6" w:rsidR="00A275A8" w:rsidRDefault="00A275A8" w:rsidP="0028169D">
          <w:pPr>
            <w:pStyle w:val="TOCHeading"/>
          </w:pPr>
          <w:r>
            <w:t>Table of Contents</w:t>
          </w:r>
        </w:p>
        <w:p w14:paraId="1356DBB1" w14:textId="630E40FC" w:rsidR="00081D62" w:rsidRDefault="006832D8">
          <w:pPr>
            <w:pStyle w:val="TOC1"/>
            <w:tabs>
              <w:tab w:val="right" w:leader="dot" w:pos="9350"/>
            </w:tabs>
            <w:rPr>
              <w:rFonts w:eastAsiaTheme="minorEastAsia" w:cstheme="minorBidi"/>
              <w:b w:val="0"/>
              <w:noProof/>
              <w:sz w:val="22"/>
              <w:szCs w:val="22"/>
            </w:rPr>
          </w:pPr>
          <w:r>
            <w:fldChar w:fldCharType="begin"/>
          </w:r>
          <w:r>
            <w:instrText xml:space="preserve"> TOC \o "1-2" </w:instrText>
          </w:r>
          <w:r>
            <w:fldChar w:fldCharType="separate"/>
          </w:r>
          <w:r w:rsidR="00081D62">
            <w:rPr>
              <w:noProof/>
            </w:rPr>
            <w:t>1. Purpose</w:t>
          </w:r>
          <w:r w:rsidR="00081D62">
            <w:rPr>
              <w:noProof/>
            </w:rPr>
            <w:tab/>
          </w:r>
          <w:r w:rsidR="00081D62">
            <w:rPr>
              <w:noProof/>
            </w:rPr>
            <w:fldChar w:fldCharType="begin"/>
          </w:r>
          <w:r w:rsidR="00081D62">
            <w:rPr>
              <w:noProof/>
            </w:rPr>
            <w:instrText xml:space="preserve"> PAGEREF _Toc6922180 \h </w:instrText>
          </w:r>
          <w:r w:rsidR="00081D62">
            <w:rPr>
              <w:noProof/>
            </w:rPr>
          </w:r>
          <w:r w:rsidR="00081D62">
            <w:rPr>
              <w:noProof/>
            </w:rPr>
            <w:fldChar w:fldCharType="separate"/>
          </w:r>
          <w:r w:rsidR="00081D62">
            <w:rPr>
              <w:noProof/>
            </w:rPr>
            <w:t>3</w:t>
          </w:r>
          <w:r w:rsidR="00081D62">
            <w:rPr>
              <w:noProof/>
            </w:rPr>
            <w:fldChar w:fldCharType="end"/>
          </w:r>
        </w:p>
        <w:p w14:paraId="0636DB36" w14:textId="7AD5E776"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1.1.</w:t>
          </w:r>
          <w:r>
            <w:rPr>
              <w:noProof/>
            </w:rPr>
            <w:t xml:space="preserve"> Introduction and Scope</w:t>
          </w:r>
          <w:r>
            <w:rPr>
              <w:noProof/>
            </w:rPr>
            <w:tab/>
          </w:r>
          <w:r>
            <w:rPr>
              <w:noProof/>
            </w:rPr>
            <w:fldChar w:fldCharType="begin"/>
          </w:r>
          <w:r>
            <w:rPr>
              <w:noProof/>
            </w:rPr>
            <w:instrText xml:space="preserve"> PAGEREF _Toc6922181 \h </w:instrText>
          </w:r>
          <w:r>
            <w:rPr>
              <w:noProof/>
            </w:rPr>
          </w:r>
          <w:r>
            <w:rPr>
              <w:noProof/>
            </w:rPr>
            <w:fldChar w:fldCharType="separate"/>
          </w:r>
          <w:r>
            <w:rPr>
              <w:noProof/>
            </w:rPr>
            <w:t>3</w:t>
          </w:r>
          <w:r>
            <w:rPr>
              <w:noProof/>
            </w:rPr>
            <w:fldChar w:fldCharType="end"/>
          </w:r>
        </w:p>
        <w:p w14:paraId="01846C28" w14:textId="1E43C635"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1.2.</w:t>
          </w:r>
          <w:r>
            <w:rPr>
              <w:noProof/>
            </w:rPr>
            <w:t xml:space="preserve"> Overview</w:t>
          </w:r>
          <w:r>
            <w:rPr>
              <w:noProof/>
            </w:rPr>
            <w:tab/>
          </w:r>
          <w:r>
            <w:rPr>
              <w:noProof/>
            </w:rPr>
            <w:fldChar w:fldCharType="begin"/>
          </w:r>
          <w:r>
            <w:rPr>
              <w:noProof/>
            </w:rPr>
            <w:instrText xml:space="preserve"> PAGEREF _Toc6922182 \h </w:instrText>
          </w:r>
          <w:r>
            <w:rPr>
              <w:noProof/>
            </w:rPr>
          </w:r>
          <w:r>
            <w:rPr>
              <w:noProof/>
            </w:rPr>
            <w:fldChar w:fldCharType="separate"/>
          </w:r>
          <w:r>
            <w:rPr>
              <w:noProof/>
            </w:rPr>
            <w:t>3</w:t>
          </w:r>
          <w:r>
            <w:rPr>
              <w:noProof/>
            </w:rPr>
            <w:fldChar w:fldCharType="end"/>
          </w:r>
        </w:p>
        <w:p w14:paraId="5035DD39" w14:textId="0906DFC2"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1.3.</w:t>
          </w:r>
          <w:r>
            <w:rPr>
              <w:noProof/>
            </w:rPr>
            <w:t xml:space="preserve"> Indications for Use</w:t>
          </w:r>
          <w:r>
            <w:rPr>
              <w:noProof/>
            </w:rPr>
            <w:tab/>
          </w:r>
          <w:r>
            <w:rPr>
              <w:noProof/>
            </w:rPr>
            <w:fldChar w:fldCharType="begin"/>
          </w:r>
          <w:r>
            <w:rPr>
              <w:noProof/>
            </w:rPr>
            <w:instrText xml:space="preserve"> PAGEREF _Toc6922183 \h </w:instrText>
          </w:r>
          <w:r>
            <w:rPr>
              <w:noProof/>
            </w:rPr>
          </w:r>
          <w:r>
            <w:rPr>
              <w:noProof/>
            </w:rPr>
            <w:fldChar w:fldCharType="separate"/>
          </w:r>
          <w:r>
            <w:rPr>
              <w:noProof/>
            </w:rPr>
            <w:t>3</w:t>
          </w:r>
          <w:r>
            <w:rPr>
              <w:noProof/>
            </w:rPr>
            <w:fldChar w:fldCharType="end"/>
          </w:r>
        </w:p>
        <w:p w14:paraId="3D74B15E" w14:textId="771616A5"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1.4.</w:t>
          </w:r>
          <w:r>
            <w:rPr>
              <w:noProof/>
            </w:rPr>
            <w:t xml:space="preserve"> Intended User</w:t>
          </w:r>
          <w:r>
            <w:rPr>
              <w:noProof/>
            </w:rPr>
            <w:tab/>
          </w:r>
          <w:r>
            <w:rPr>
              <w:noProof/>
            </w:rPr>
            <w:fldChar w:fldCharType="begin"/>
          </w:r>
          <w:r>
            <w:rPr>
              <w:noProof/>
            </w:rPr>
            <w:instrText xml:space="preserve"> PAGEREF _Toc6922184 \h </w:instrText>
          </w:r>
          <w:r>
            <w:rPr>
              <w:noProof/>
            </w:rPr>
          </w:r>
          <w:r>
            <w:rPr>
              <w:noProof/>
            </w:rPr>
            <w:fldChar w:fldCharType="separate"/>
          </w:r>
          <w:r>
            <w:rPr>
              <w:noProof/>
            </w:rPr>
            <w:t>3</w:t>
          </w:r>
          <w:r>
            <w:rPr>
              <w:noProof/>
            </w:rPr>
            <w:fldChar w:fldCharType="end"/>
          </w:r>
        </w:p>
        <w:p w14:paraId="40C54A66" w14:textId="4060DCD1"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1.5.</w:t>
          </w:r>
          <w:r>
            <w:rPr>
              <w:noProof/>
            </w:rPr>
            <w:t xml:space="preserve"> Ratings</w:t>
          </w:r>
          <w:r>
            <w:rPr>
              <w:noProof/>
            </w:rPr>
            <w:tab/>
          </w:r>
          <w:r>
            <w:rPr>
              <w:noProof/>
            </w:rPr>
            <w:fldChar w:fldCharType="begin"/>
          </w:r>
          <w:r>
            <w:rPr>
              <w:noProof/>
            </w:rPr>
            <w:instrText xml:space="preserve"> PAGEREF _Toc6922185 \h </w:instrText>
          </w:r>
          <w:r>
            <w:rPr>
              <w:noProof/>
            </w:rPr>
          </w:r>
          <w:r>
            <w:rPr>
              <w:noProof/>
            </w:rPr>
            <w:fldChar w:fldCharType="separate"/>
          </w:r>
          <w:r>
            <w:rPr>
              <w:noProof/>
            </w:rPr>
            <w:t>3</w:t>
          </w:r>
          <w:r>
            <w:rPr>
              <w:noProof/>
            </w:rPr>
            <w:fldChar w:fldCharType="end"/>
          </w:r>
        </w:p>
        <w:p w14:paraId="6BC4106E" w14:textId="6790DE2A" w:rsidR="00081D62" w:rsidRDefault="00081D62">
          <w:pPr>
            <w:pStyle w:val="TOC1"/>
            <w:tabs>
              <w:tab w:val="right" w:leader="dot" w:pos="9350"/>
            </w:tabs>
            <w:rPr>
              <w:rFonts w:eastAsiaTheme="minorEastAsia" w:cstheme="minorBidi"/>
              <w:b w:val="0"/>
              <w:noProof/>
              <w:sz w:val="22"/>
              <w:szCs w:val="22"/>
            </w:rPr>
          </w:pPr>
          <w:r>
            <w:rPr>
              <w:noProof/>
            </w:rPr>
            <w:t>2. Acronyms, Definitions &amp; References</w:t>
          </w:r>
          <w:r>
            <w:rPr>
              <w:noProof/>
            </w:rPr>
            <w:tab/>
          </w:r>
          <w:r>
            <w:rPr>
              <w:noProof/>
            </w:rPr>
            <w:fldChar w:fldCharType="begin"/>
          </w:r>
          <w:r>
            <w:rPr>
              <w:noProof/>
            </w:rPr>
            <w:instrText xml:space="preserve"> PAGEREF _Toc6922186 \h </w:instrText>
          </w:r>
          <w:r>
            <w:rPr>
              <w:noProof/>
            </w:rPr>
          </w:r>
          <w:r>
            <w:rPr>
              <w:noProof/>
            </w:rPr>
            <w:fldChar w:fldCharType="separate"/>
          </w:r>
          <w:r>
            <w:rPr>
              <w:noProof/>
            </w:rPr>
            <w:t>4</w:t>
          </w:r>
          <w:r>
            <w:rPr>
              <w:noProof/>
            </w:rPr>
            <w:fldChar w:fldCharType="end"/>
          </w:r>
        </w:p>
        <w:p w14:paraId="5BB742F2" w14:textId="54E6B17E"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2.1.</w:t>
          </w:r>
          <w:r>
            <w:rPr>
              <w:noProof/>
            </w:rPr>
            <w:t xml:space="preserve"> Acronyms</w:t>
          </w:r>
          <w:r>
            <w:rPr>
              <w:noProof/>
            </w:rPr>
            <w:tab/>
          </w:r>
          <w:r>
            <w:rPr>
              <w:noProof/>
            </w:rPr>
            <w:fldChar w:fldCharType="begin"/>
          </w:r>
          <w:r>
            <w:rPr>
              <w:noProof/>
            </w:rPr>
            <w:instrText xml:space="preserve"> PAGEREF _Toc6922187 \h </w:instrText>
          </w:r>
          <w:r>
            <w:rPr>
              <w:noProof/>
            </w:rPr>
          </w:r>
          <w:r>
            <w:rPr>
              <w:noProof/>
            </w:rPr>
            <w:fldChar w:fldCharType="separate"/>
          </w:r>
          <w:r>
            <w:rPr>
              <w:noProof/>
            </w:rPr>
            <w:t>4</w:t>
          </w:r>
          <w:r>
            <w:rPr>
              <w:noProof/>
            </w:rPr>
            <w:fldChar w:fldCharType="end"/>
          </w:r>
        </w:p>
        <w:p w14:paraId="209028D7" w14:textId="5C607104"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2.2.</w:t>
          </w:r>
          <w:r>
            <w:rPr>
              <w:noProof/>
            </w:rPr>
            <w:t xml:space="preserve"> Definitions</w:t>
          </w:r>
          <w:r>
            <w:rPr>
              <w:noProof/>
            </w:rPr>
            <w:tab/>
          </w:r>
          <w:r>
            <w:rPr>
              <w:noProof/>
            </w:rPr>
            <w:fldChar w:fldCharType="begin"/>
          </w:r>
          <w:r>
            <w:rPr>
              <w:noProof/>
            </w:rPr>
            <w:instrText xml:space="preserve"> PAGEREF _Toc6922188 \h </w:instrText>
          </w:r>
          <w:r>
            <w:rPr>
              <w:noProof/>
            </w:rPr>
          </w:r>
          <w:r>
            <w:rPr>
              <w:noProof/>
            </w:rPr>
            <w:fldChar w:fldCharType="separate"/>
          </w:r>
          <w:r>
            <w:rPr>
              <w:noProof/>
            </w:rPr>
            <w:t>4</w:t>
          </w:r>
          <w:r>
            <w:rPr>
              <w:noProof/>
            </w:rPr>
            <w:fldChar w:fldCharType="end"/>
          </w:r>
        </w:p>
        <w:p w14:paraId="557B7B4C" w14:textId="7BCE6929"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2.3.</w:t>
          </w:r>
          <w:r>
            <w:rPr>
              <w:noProof/>
            </w:rPr>
            <w:t xml:space="preserve"> Reference Documents</w:t>
          </w:r>
          <w:r>
            <w:rPr>
              <w:noProof/>
            </w:rPr>
            <w:tab/>
          </w:r>
          <w:r>
            <w:rPr>
              <w:noProof/>
            </w:rPr>
            <w:fldChar w:fldCharType="begin"/>
          </w:r>
          <w:r>
            <w:rPr>
              <w:noProof/>
            </w:rPr>
            <w:instrText xml:space="preserve"> PAGEREF _Toc6922189 \h </w:instrText>
          </w:r>
          <w:r>
            <w:rPr>
              <w:noProof/>
            </w:rPr>
          </w:r>
          <w:r>
            <w:rPr>
              <w:noProof/>
            </w:rPr>
            <w:fldChar w:fldCharType="separate"/>
          </w:r>
          <w:r>
            <w:rPr>
              <w:noProof/>
            </w:rPr>
            <w:t>4</w:t>
          </w:r>
          <w:r>
            <w:rPr>
              <w:noProof/>
            </w:rPr>
            <w:fldChar w:fldCharType="end"/>
          </w:r>
        </w:p>
        <w:p w14:paraId="7D35FF7A" w14:textId="60129FAE"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2.4.</w:t>
          </w:r>
          <w:r>
            <w:rPr>
              <w:noProof/>
            </w:rPr>
            <w:t xml:space="preserve"> Supporting Schematics &amp; Specifications</w:t>
          </w:r>
          <w:r>
            <w:rPr>
              <w:noProof/>
            </w:rPr>
            <w:tab/>
          </w:r>
          <w:r>
            <w:rPr>
              <w:noProof/>
            </w:rPr>
            <w:fldChar w:fldCharType="begin"/>
          </w:r>
          <w:r>
            <w:rPr>
              <w:noProof/>
            </w:rPr>
            <w:instrText xml:space="preserve"> PAGEREF _Toc6922190 \h </w:instrText>
          </w:r>
          <w:r>
            <w:rPr>
              <w:noProof/>
            </w:rPr>
          </w:r>
          <w:r>
            <w:rPr>
              <w:noProof/>
            </w:rPr>
            <w:fldChar w:fldCharType="separate"/>
          </w:r>
          <w:r>
            <w:rPr>
              <w:noProof/>
            </w:rPr>
            <w:t>4</w:t>
          </w:r>
          <w:r>
            <w:rPr>
              <w:noProof/>
            </w:rPr>
            <w:fldChar w:fldCharType="end"/>
          </w:r>
        </w:p>
        <w:p w14:paraId="1B96E89A" w14:textId="6F0EE4A0" w:rsidR="00081D62" w:rsidRDefault="00081D62">
          <w:pPr>
            <w:pStyle w:val="TOC1"/>
            <w:tabs>
              <w:tab w:val="right" w:leader="dot" w:pos="9350"/>
            </w:tabs>
            <w:rPr>
              <w:rFonts w:eastAsiaTheme="minorEastAsia" w:cstheme="minorBidi"/>
              <w:b w:val="0"/>
              <w:noProof/>
              <w:sz w:val="22"/>
              <w:szCs w:val="22"/>
            </w:rPr>
          </w:pPr>
          <w:r>
            <w:rPr>
              <w:noProof/>
            </w:rPr>
            <w:t>3. System Elements</w:t>
          </w:r>
          <w:r>
            <w:rPr>
              <w:noProof/>
            </w:rPr>
            <w:tab/>
          </w:r>
          <w:r>
            <w:rPr>
              <w:noProof/>
            </w:rPr>
            <w:fldChar w:fldCharType="begin"/>
          </w:r>
          <w:r>
            <w:rPr>
              <w:noProof/>
            </w:rPr>
            <w:instrText xml:space="preserve"> PAGEREF _Toc6922191 \h </w:instrText>
          </w:r>
          <w:r>
            <w:rPr>
              <w:noProof/>
            </w:rPr>
          </w:r>
          <w:r>
            <w:rPr>
              <w:noProof/>
            </w:rPr>
            <w:fldChar w:fldCharType="separate"/>
          </w:r>
          <w:r>
            <w:rPr>
              <w:noProof/>
            </w:rPr>
            <w:t>5</w:t>
          </w:r>
          <w:r>
            <w:rPr>
              <w:noProof/>
            </w:rPr>
            <w:fldChar w:fldCharType="end"/>
          </w:r>
        </w:p>
        <w:p w14:paraId="07662A66" w14:textId="5DB5AA2D"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3.1.</w:t>
          </w:r>
          <w:r>
            <w:rPr>
              <w:noProof/>
            </w:rPr>
            <w:t xml:space="preserve"> Conditioning Unit</w:t>
          </w:r>
          <w:r>
            <w:rPr>
              <w:noProof/>
            </w:rPr>
            <w:tab/>
          </w:r>
          <w:r>
            <w:rPr>
              <w:noProof/>
            </w:rPr>
            <w:fldChar w:fldCharType="begin"/>
          </w:r>
          <w:r>
            <w:rPr>
              <w:noProof/>
            </w:rPr>
            <w:instrText xml:space="preserve"> PAGEREF _Toc6922192 \h </w:instrText>
          </w:r>
          <w:r>
            <w:rPr>
              <w:noProof/>
            </w:rPr>
          </w:r>
          <w:r>
            <w:rPr>
              <w:noProof/>
            </w:rPr>
            <w:fldChar w:fldCharType="separate"/>
          </w:r>
          <w:r>
            <w:rPr>
              <w:noProof/>
            </w:rPr>
            <w:t>5</w:t>
          </w:r>
          <w:r>
            <w:rPr>
              <w:noProof/>
            </w:rPr>
            <w:fldChar w:fldCharType="end"/>
          </w:r>
        </w:p>
        <w:p w14:paraId="75754559" w14:textId="3D4CB799"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3.2.</w:t>
          </w:r>
          <w:r>
            <w:rPr>
              <w:noProof/>
            </w:rPr>
            <w:t xml:space="preserve"> Umbilical</w:t>
          </w:r>
          <w:r>
            <w:rPr>
              <w:noProof/>
            </w:rPr>
            <w:tab/>
          </w:r>
          <w:r>
            <w:rPr>
              <w:noProof/>
            </w:rPr>
            <w:fldChar w:fldCharType="begin"/>
          </w:r>
          <w:r>
            <w:rPr>
              <w:noProof/>
            </w:rPr>
            <w:instrText xml:space="preserve"> PAGEREF _Toc6922193 \h </w:instrText>
          </w:r>
          <w:r>
            <w:rPr>
              <w:noProof/>
            </w:rPr>
          </w:r>
          <w:r>
            <w:rPr>
              <w:noProof/>
            </w:rPr>
            <w:fldChar w:fldCharType="separate"/>
          </w:r>
          <w:r>
            <w:rPr>
              <w:noProof/>
            </w:rPr>
            <w:t>6</w:t>
          </w:r>
          <w:r>
            <w:rPr>
              <w:noProof/>
            </w:rPr>
            <w:fldChar w:fldCharType="end"/>
          </w:r>
        </w:p>
        <w:p w14:paraId="2EF24D50" w14:textId="368221C5"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3.3.</w:t>
          </w:r>
          <w:r>
            <w:rPr>
              <w:noProof/>
            </w:rPr>
            <w:t xml:space="preserve"> Cooling pad</w:t>
          </w:r>
          <w:r>
            <w:rPr>
              <w:noProof/>
            </w:rPr>
            <w:tab/>
          </w:r>
          <w:r>
            <w:rPr>
              <w:noProof/>
            </w:rPr>
            <w:fldChar w:fldCharType="begin"/>
          </w:r>
          <w:r>
            <w:rPr>
              <w:noProof/>
            </w:rPr>
            <w:instrText xml:space="preserve"> PAGEREF _Toc6922194 \h </w:instrText>
          </w:r>
          <w:r>
            <w:rPr>
              <w:noProof/>
            </w:rPr>
          </w:r>
          <w:r>
            <w:rPr>
              <w:noProof/>
            </w:rPr>
            <w:fldChar w:fldCharType="separate"/>
          </w:r>
          <w:r>
            <w:rPr>
              <w:noProof/>
            </w:rPr>
            <w:t>6</w:t>
          </w:r>
          <w:r>
            <w:rPr>
              <w:noProof/>
            </w:rPr>
            <w:fldChar w:fldCharType="end"/>
          </w:r>
        </w:p>
        <w:p w14:paraId="208CB1C8" w14:textId="70DB9808"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3.4.</w:t>
          </w:r>
          <w:r>
            <w:rPr>
              <w:noProof/>
            </w:rPr>
            <w:t xml:space="preserve"> Power Supply</w:t>
          </w:r>
          <w:r>
            <w:rPr>
              <w:noProof/>
            </w:rPr>
            <w:tab/>
          </w:r>
          <w:r>
            <w:rPr>
              <w:noProof/>
            </w:rPr>
            <w:fldChar w:fldCharType="begin"/>
          </w:r>
          <w:r>
            <w:rPr>
              <w:noProof/>
            </w:rPr>
            <w:instrText xml:space="preserve"> PAGEREF _Toc6922195 \h </w:instrText>
          </w:r>
          <w:r>
            <w:rPr>
              <w:noProof/>
            </w:rPr>
          </w:r>
          <w:r>
            <w:rPr>
              <w:noProof/>
            </w:rPr>
            <w:fldChar w:fldCharType="separate"/>
          </w:r>
          <w:r>
            <w:rPr>
              <w:noProof/>
            </w:rPr>
            <w:t>6</w:t>
          </w:r>
          <w:r>
            <w:rPr>
              <w:noProof/>
            </w:rPr>
            <w:fldChar w:fldCharType="end"/>
          </w:r>
        </w:p>
        <w:p w14:paraId="508D1694" w14:textId="3B34F84E" w:rsidR="00081D62" w:rsidRDefault="00081D62">
          <w:pPr>
            <w:pStyle w:val="TOC1"/>
            <w:tabs>
              <w:tab w:val="right" w:leader="dot" w:pos="9350"/>
            </w:tabs>
            <w:rPr>
              <w:rFonts w:eastAsiaTheme="minorEastAsia" w:cstheme="minorBidi"/>
              <w:b w:val="0"/>
              <w:noProof/>
              <w:sz w:val="22"/>
              <w:szCs w:val="22"/>
            </w:rPr>
          </w:pPr>
          <w:r>
            <w:rPr>
              <w:noProof/>
            </w:rPr>
            <w:t>4. Specifications</w:t>
          </w:r>
          <w:r>
            <w:rPr>
              <w:noProof/>
            </w:rPr>
            <w:tab/>
          </w:r>
          <w:r>
            <w:rPr>
              <w:noProof/>
            </w:rPr>
            <w:fldChar w:fldCharType="begin"/>
          </w:r>
          <w:r>
            <w:rPr>
              <w:noProof/>
            </w:rPr>
            <w:instrText xml:space="preserve"> PAGEREF _Toc6922196 \h </w:instrText>
          </w:r>
          <w:r>
            <w:rPr>
              <w:noProof/>
            </w:rPr>
          </w:r>
          <w:r>
            <w:rPr>
              <w:noProof/>
            </w:rPr>
            <w:fldChar w:fldCharType="separate"/>
          </w:r>
          <w:r>
            <w:rPr>
              <w:noProof/>
            </w:rPr>
            <w:t>8</w:t>
          </w:r>
          <w:r>
            <w:rPr>
              <w:noProof/>
            </w:rPr>
            <w:fldChar w:fldCharType="end"/>
          </w:r>
        </w:p>
        <w:p w14:paraId="4FA80C33" w14:textId="3650CE6C"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4.1.</w:t>
          </w:r>
          <w:r>
            <w:rPr>
              <w:noProof/>
            </w:rPr>
            <w:t xml:space="preserve"> Physical Dimensions &amp; Material</w:t>
          </w:r>
          <w:r>
            <w:rPr>
              <w:noProof/>
            </w:rPr>
            <w:tab/>
          </w:r>
          <w:r>
            <w:rPr>
              <w:noProof/>
            </w:rPr>
            <w:fldChar w:fldCharType="begin"/>
          </w:r>
          <w:r>
            <w:rPr>
              <w:noProof/>
            </w:rPr>
            <w:instrText xml:space="preserve"> PAGEREF _Toc6922197 \h </w:instrText>
          </w:r>
          <w:r>
            <w:rPr>
              <w:noProof/>
            </w:rPr>
          </w:r>
          <w:r>
            <w:rPr>
              <w:noProof/>
            </w:rPr>
            <w:fldChar w:fldCharType="separate"/>
          </w:r>
          <w:r>
            <w:rPr>
              <w:noProof/>
            </w:rPr>
            <w:t>8</w:t>
          </w:r>
          <w:r>
            <w:rPr>
              <w:noProof/>
            </w:rPr>
            <w:fldChar w:fldCharType="end"/>
          </w:r>
        </w:p>
        <w:p w14:paraId="7CE8D199" w14:textId="4F71E4D7"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4.2.</w:t>
          </w:r>
          <w:r>
            <w:rPr>
              <w:noProof/>
            </w:rPr>
            <w:t xml:space="preserve"> Environmental</w:t>
          </w:r>
          <w:r>
            <w:rPr>
              <w:noProof/>
            </w:rPr>
            <w:tab/>
          </w:r>
          <w:r>
            <w:rPr>
              <w:noProof/>
            </w:rPr>
            <w:fldChar w:fldCharType="begin"/>
          </w:r>
          <w:r>
            <w:rPr>
              <w:noProof/>
            </w:rPr>
            <w:instrText xml:space="preserve"> PAGEREF _Toc6922198 \h </w:instrText>
          </w:r>
          <w:r>
            <w:rPr>
              <w:noProof/>
            </w:rPr>
          </w:r>
          <w:r>
            <w:rPr>
              <w:noProof/>
            </w:rPr>
            <w:fldChar w:fldCharType="separate"/>
          </w:r>
          <w:r>
            <w:rPr>
              <w:noProof/>
            </w:rPr>
            <w:t>8</w:t>
          </w:r>
          <w:r>
            <w:rPr>
              <w:noProof/>
            </w:rPr>
            <w:fldChar w:fldCharType="end"/>
          </w:r>
        </w:p>
        <w:p w14:paraId="0ABDC8F4" w14:textId="65DE7C11"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4.3.</w:t>
          </w:r>
          <w:r>
            <w:rPr>
              <w:noProof/>
            </w:rPr>
            <w:t xml:space="preserve"> Power Supply</w:t>
          </w:r>
          <w:r>
            <w:rPr>
              <w:noProof/>
            </w:rPr>
            <w:tab/>
          </w:r>
          <w:r>
            <w:rPr>
              <w:noProof/>
            </w:rPr>
            <w:fldChar w:fldCharType="begin"/>
          </w:r>
          <w:r>
            <w:rPr>
              <w:noProof/>
            </w:rPr>
            <w:instrText xml:space="preserve"> PAGEREF _Toc6922199 \h </w:instrText>
          </w:r>
          <w:r>
            <w:rPr>
              <w:noProof/>
            </w:rPr>
          </w:r>
          <w:r>
            <w:rPr>
              <w:noProof/>
            </w:rPr>
            <w:fldChar w:fldCharType="separate"/>
          </w:r>
          <w:r>
            <w:rPr>
              <w:noProof/>
            </w:rPr>
            <w:t>8</w:t>
          </w:r>
          <w:r>
            <w:rPr>
              <w:noProof/>
            </w:rPr>
            <w:fldChar w:fldCharType="end"/>
          </w:r>
        </w:p>
        <w:p w14:paraId="2DD3018C" w14:textId="5B2153EA"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4.4.</w:t>
          </w:r>
          <w:r>
            <w:rPr>
              <w:noProof/>
            </w:rPr>
            <w:t xml:space="preserve"> Safety Features</w:t>
          </w:r>
          <w:r>
            <w:rPr>
              <w:noProof/>
            </w:rPr>
            <w:tab/>
          </w:r>
          <w:r>
            <w:rPr>
              <w:noProof/>
            </w:rPr>
            <w:fldChar w:fldCharType="begin"/>
          </w:r>
          <w:r>
            <w:rPr>
              <w:noProof/>
            </w:rPr>
            <w:instrText xml:space="preserve"> PAGEREF _Toc6922200 \h </w:instrText>
          </w:r>
          <w:r>
            <w:rPr>
              <w:noProof/>
            </w:rPr>
          </w:r>
          <w:r>
            <w:rPr>
              <w:noProof/>
            </w:rPr>
            <w:fldChar w:fldCharType="separate"/>
          </w:r>
          <w:r>
            <w:rPr>
              <w:noProof/>
            </w:rPr>
            <w:t>9</w:t>
          </w:r>
          <w:r>
            <w:rPr>
              <w:noProof/>
            </w:rPr>
            <w:fldChar w:fldCharType="end"/>
          </w:r>
        </w:p>
        <w:p w14:paraId="12EF2796" w14:textId="42F07172"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4.5.</w:t>
          </w:r>
          <w:r>
            <w:rPr>
              <w:noProof/>
            </w:rPr>
            <w:t xml:space="preserve"> Error Conditions</w:t>
          </w:r>
          <w:r>
            <w:rPr>
              <w:noProof/>
            </w:rPr>
            <w:tab/>
          </w:r>
          <w:r>
            <w:rPr>
              <w:noProof/>
            </w:rPr>
            <w:fldChar w:fldCharType="begin"/>
          </w:r>
          <w:r>
            <w:rPr>
              <w:noProof/>
            </w:rPr>
            <w:instrText xml:space="preserve"> PAGEREF _Toc6922201 \h </w:instrText>
          </w:r>
          <w:r>
            <w:rPr>
              <w:noProof/>
            </w:rPr>
          </w:r>
          <w:r>
            <w:rPr>
              <w:noProof/>
            </w:rPr>
            <w:fldChar w:fldCharType="separate"/>
          </w:r>
          <w:r>
            <w:rPr>
              <w:noProof/>
            </w:rPr>
            <w:t>9</w:t>
          </w:r>
          <w:r>
            <w:rPr>
              <w:noProof/>
            </w:rPr>
            <w:fldChar w:fldCharType="end"/>
          </w:r>
        </w:p>
        <w:p w14:paraId="7BCE6328" w14:textId="158310CC"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4.6.</w:t>
          </w:r>
          <w:r>
            <w:rPr>
              <w:noProof/>
            </w:rPr>
            <w:t xml:space="preserve"> Temperature Control</w:t>
          </w:r>
          <w:r>
            <w:rPr>
              <w:noProof/>
            </w:rPr>
            <w:tab/>
          </w:r>
          <w:r>
            <w:rPr>
              <w:noProof/>
            </w:rPr>
            <w:fldChar w:fldCharType="begin"/>
          </w:r>
          <w:r>
            <w:rPr>
              <w:noProof/>
            </w:rPr>
            <w:instrText xml:space="preserve"> PAGEREF _Toc6922202 \h </w:instrText>
          </w:r>
          <w:r>
            <w:rPr>
              <w:noProof/>
            </w:rPr>
          </w:r>
          <w:r>
            <w:rPr>
              <w:noProof/>
            </w:rPr>
            <w:fldChar w:fldCharType="separate"/>
          </w:r>
          <w:r>
            <w:rPr>
              <w:noProof/>
            </w:rPr>
            <w:t>10</w:t>
          </w:r>
          <w:r>
            <w:rPr>
              <w:noProof/>
            </w:rPr>
            <w:fldChar w:fldCharType="end"/>
          </w:r>
        </w:p>
        <w:p w14:paraId="37BEE22E" w14:textId="42840810"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4.7.</w:t>
          </w:r>
          <w:r>
            <w:rPr>
              <w:noProof/>
            </w:rPr>
            <w:t xml:space="preserve"> Electronic Control System</w:t>
          </w:r>
          <w:r>
            <w:rPr>
              <w:noProof/>
            </w:rPr>
            <w:tab/>
          </w:r>
          <w:r>
            <w:rPr>
              <w:noProof/>
            </w:rPr>
            <w:fldChar w:fldCharType="begin"/>
          </w:r>
          <w:r>
            <w:rPr>
              <w:noProof/>
            </w:rPr>
            <w:instrText xml:space="preserve"> PAGEREF _Toc6922203 \h </w:instrText>
          </w:r>
          <w:r>
            <w:rPr>
              <w:noProof/>
            </w:rPr>
          </w:r>
          <w:r>
            <w:rPr>
              <w:noProof/>
            </w:rPr>
            <w:fldChar w:fldCharType="separate"/>
          </w:r>
          <w:r>
            <w:rPr>
              <w:noProof/>
            </w:rPr>
            <w:t>10</w:t>
          </w:r>
          <w:r>
            <w:rPr>
              <w:noProof/>
            </w:rPr>
            <w:fldChar w:fldCharType="end"/>
          </w:r>
        </w:p>
        <w:p w14:paraId="30F7C0E0" w14:textId="3005AADF"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4.8.</w:t>
          </w:r>
          <w:r>
            <w:rPr>
              <w:noProof/>
            </w:rPr>
            <w:t xml:space="preserve"> Graphical User Interface (GUI)</w:t>
          </w:r>
          <w:r>
            <w:rPr>
              <w:noProof/>
            </w:rPr>
            <w:tab/>
          </w:r>
          <w:r>
            <w:rPr>
              <w:noProof/>
            </w:rPr>
            <w:fldChar w:fldCharType="begin"/>
          </w:r>
          <w:r>
            <w:rPr>
              <w:noProof/>
            </w:rPr>
            <w:instrText xml:space="preserve"> PAGEREF _Toc6922204 \h </w:instrText>
          </w:r>
          <w:r>
            <w:rPr>
              <w:noProof/>
            </w:rPr>
          </w:r>
          <w:r>
            <w:rPr>
              <w:noProof/>
            </w:rPr>
            <w:fldChar w:fldCharType="separate"/>
          </w:r>
          <w:r>
            <w:rPr>
              <w:noProof/>
            </w:rPr>
            <w:t>11</w:t>
          </w:r>
          <w:r>
            <w:rPr>
              <w:noProof/>
            </w:rPr>
            <w:fldChar w:fldCharType="end"/>
          </w:r>
        </w:p>
        <w:p w14:paraId="2BAF13C3" w14:textId="71ED375B"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4.9.</w:t>
          </w:r>
          <w:r>
            <w:rPr>
              <w:noProof/>
            </w:rPr>
            <w:t xml:space="preserve"> Audible Alarms</w:t>
          </w:r>
          <w:r>
            <w:rPr>
              <w:noProof/>
            </w:rPr>
            <w:tab/>
          </w:r>
          <w:r>
            <w:rPr>
              <w:noProof/>
            </w:rPr>
            <w:fldChar w:fldCharType="begin"/>
          </w:r>
          <w:r>
            <w:rPr>
              <w:noProof/>
            </w:rPr>
            <w:instrText xml:space="preserve"> PAGEREF _Toc6922205 \h </w:instrText>
          </w:r>
          <w:r>
            <w:rPr>
              <w:noProof/>
            </w:rPr>
          </w:r>
          <w:r>
            <w:rPr>
              <w:noProof/>
            </w:rPr>
            <w:fldChar w:fldCharType="separate"/>
          </w:r>
          <w:r>
            <w:rPr>
              <w:noProof/>
            </w:rPr>
            <w:t>13</w:t>
          </w:r>
          <w:r>
            <w:rPr>
              <w:noProof/>
            </w:rPr>
            <w:fldChar w:fldCharType="end"/>
          </w:r>
        </w:p>
        <w:p w14:paraId="7695F721" w14:textId="1EB94DF1"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4.10.</w:t>
          </w:r>
          <w:r>
            <w:rPr>
              <w:noProof/>
            </w:rPr>
            <w:t xml:space="preserve"> Data System</w:t>
          </w:r>
          <w:r>
            <w:rPr>
              <w:noProof/>
            </w:rPr>
            <w:tab/>
          </w:r>
          <w:r>
            <w:rPr>
              <w:noProof/>
            </w:rPr>
            <w:fldChar w:fldCharType="begin"/>
          </w:r>
          <w:r>
            <w:rPr>
              <w:noProof/>
            </w:rPr>
            <w:instrText xml:space="preserve"> PAGEREF _Toc6922206 \h </w:instrText>
          </w:r>
          <w:r>
            <w:rPr>
              <w:noProof/>
            </w:rPr>
          </w:r>
          <w:r>
            <w:rPr>
              <w:noProof/>
            </w:rPr>
            <w:fldChar w:fldCharType="separate"/>
          </w:r>
          <w:r>
            <w:rPr>
              <w:noProof/>
            </w:rPr>
            <w:t>13</w:t>
          </w:r>
          <w:r>
            <w:rPr>
              <w:noProof/>
            </w:rPr>
            <w:fldChar w:fldCharType="end"/>
          </w:r>
        </w:p>
        <w:p w14:paraId="72369E47" w14:textId="7B97D051"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4.11.</w:t>
          </w:r>
          <w:r>
            <w:rPr>
              <w:noProof/>
            </w:rPr>
            <w:t xml:space="preserve"> Power-On Self-Test (POST)</w:t>
          </w:r>
          <w:r>
            <w:rPr>
              <w:noProof/>
            </w:rPr>
            <w:tab/>
          </w:r>
          <w:r>
            <w:rPr>
              <w:noProof/>
            </w:rPr>
            <w:fldChar w:fldCharType="begin"/>
          </w:r>
          <w:r>
            <w:rPr>
              <w:noProof/>
            </w:rPr>
            <w:instrText xml:space="preserve"> PAGEREF _Toc6922207 \h </w:instrText>
          </w:r>
          <w:r>
            <w:rPr>
              <w:noProof/>
            </w:rPr>
          </w:r>
          <w:r>
            <w:rPr>
              <w:noProof/>
            </w:rPr>
            <w:fldChar w:fldCharType="separate"/>
          </w:r>
          <w:r>
            <w:rPr>
              <w:noProof/>
            </w:rPr>
            <w:t>14</w:t>
          </w:r>
          <w:r>
            <w:rPr>
              <w:noProof/>
            </w:rPr>
            <w:fldChar w:fldCharType="end"/>
          </w:r>
        </w:p>
        <w:p w14:paraId="3462FC36" w14:textId="1DEB5AEB"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4.12.</w:t>
          </w:r>
          <w:r>
            <w:rPr>
              <w:noProof/>
            </w:rPr>
            <w:t xml:space="preserve"> Labeling</w:t>
          </w:r>
          <w:r>
            <w:rPr>
              <w:noProof/>
            </w:rPr>
            <w:tab/>
          </w:r>
          <w:r>
            <w:rPr>
              <w:noProof/>
            </w:rPr>
            <w:fldChar w:fldCharType="begin"/>
          </w:r>
          <w:r>
            <w:rPr>
              <w:noProof/>
            </w:rPr>
            <w:instrText xml:space="preserve"> PAGEREF _Toc6922208 \h </w:instrText>
          </w:r>
          <w:r>
            <w:rPr>
              <w:noProof/>
            </w:rPr>
          </w:r>
          <w:r>
            <w:rPr>
              <w:noProof/>
            </w:rPr>
            <w:fldChar w:fldCharType="separate"/>
          </w:r>
          <w:r>
            <w:rPr>
              <w:noProof/>
            </w:rPr>
            <w:t>17</w:t>
          </w:r>
          <w:r>
            <w:rPr>
              <w:noProof/>
            </w:rPr>
            <w:fldChar w:fldCharType="end"/>
          </w:r>
        </w:p>
        <w:p w14:paraId="5472652E" w14:textId="35597D31"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4.13.</w:t>
          </w:r>
          <w:r>
            <w:rPr>
              <w:noProof/>
            </w:rPr>
            <w:t xml:space="preserve"> Quality Control</w:t>
          </w:r>
          <w:r>
            <w:rPr>
              <w:noProof/>
            </w:rPr>
            <w:tab/>
          </w:r>
          <w:r>
            <w:rPr>
              <w:noProof/>
            </w:rPr>
            <w:fldChar w:fldCharType="begin"/>
          </w:r>
          <w:r>
            <w:rPr>
              <w:noProof/>
            </w:rPr>
            <w:instrText xml:space="preserve"> PAGEREF _Toc6922209 \h </w:instrText>
          </w:r>
          <w:r>
            <w:rPr>
              <w:noProof/>
            </w:rPr>
          </w:r>
          <w:r>
            <w:rPr>
              <w:noProof/>
            </w:rPr>
            <w:fldChar w:fldCharType="separate"/>
          </w:r>
          <w:r>
            <w:rPr>
              <w:noProof/>
            </w:rPr>
            <w:t>17</w:t>
          </w:r>
          <w:r>
            <w:rPr>
              <w:noProof/>
            </w:rPr>
            <w:fldChar w:fldCharType="end"/>
          </w:r>
        </w:p>
        <w:p w14:paraId="43A06D14" w14:textId="323F412C"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4.14.</w:t>
          </w:r>
          <w:r>
            <w:rPr>
              <w:noProof/>
            </w:rPr>
            <w:t xml:space="preserve"> General</w:t>
          </w:r>
          <w:r>
            <w:rPr>
              <w:noProof/>
            </w:rPr>
            <w:tab/>
          </w:r>
          <w:r>
            <w:rPr>
              <w:noProof/>
            </w:rPr>
            <w:fldChar w:fldCharType="begin"/>
          </w:r>
          <w:r>
            <w:rPr>
              <w:noProof/>
            </w:rPr>
            <w:instrText xml:space="preserve"> PAGEREF _Toc6922210 \h </w:instrText>
          </w:r>
          <w:r>
            <w:rPr>
              <w:noProof/>
            </w:rPr>
          </w:r>
          <w:r>
            <w:rPr>
              <w:noProof/>
            </w:rPr>
            <w:fldChar w:fldCharType="separate"/>
          </w:r>
          <w:r>
            <w:rPr>
              <w:noProof/>
            </w:rPr>
            <w:t>17</w:t>
          </w:r>
          <w:r>
            <w:rPr>
              <w:noProof/>
            </w:rPr>
            <w:fldChar w:fldCharType="end"/>
          </w:r>
        </w:p>
        <w:p w14:paraId="7C856A29" w14:textId="0BAFE625" w:rsidR="00081D62" w:rsidRDefault="00081D62">
          <w:pPr>
            <w:pStyle w:val="TOC1"/>
            <w:tabs>
              <w:tab w:val="right" w:leader="dot" w:pos="9350"/>
            </w:tabs>
            <w:rPr>
              <w:rFonts w:eastAsiaTheme="minorEastAsia" w:cstheme="minorBidi"/>
              <w:b w:val="0"/>
              <w:noProof/>
              <w:sz w:val="22"/>
              <w:szCs w:val="22"/>
            </w:rPr>
          </w:pPr>
          <w:r>
            <w:rPr>
              <w:noProof/>
            </w:rPr>
            <w:t>5. Appendix 1 – Error Conditions</w:t>
          </w:r>
          <w:r>
            <w:rPr>
              <w:noProof/>
            </w:rPr>
            <w:tab/>
          </w:r>
          <w:r>
            <w:rPr>
              <w:noProof/>
            </w:rPr>
            <w:fldChar w:fldCharType="begin"/>
          </w:r>
          <w:r>
            <w:rPr>
              <w:noProof/>
            </w:rPr>
            <w:instrText xml:space="preserve"> PAGEREF _Toc6922211 \h </w:instrText>
          </w:r>
          <w:r>
            <w:rPr>
              <w:noProof/>
            </w:rPr>
          </w:r>
          <w:r>
            <w:rPr>
              <w:noProof/>
            </w:rPr>
            <w:fldChar w:fldCharType="separate"/>
          </w:r>
          <w:r>
            <w:rPr>
              <w:noProof/>
            </w:rPr>
            <w:t>18</w:t>
          </w:r>
          <w:r>
            <w:rPr>
              <w:noProof/>
            </w:rPr>
            <w:fldChar w:fldCharType="end"/>
          </w:r>
        </w:p>
        <w:p w14:paraId="25469531" w14:textId="1679D48C" w:rsidR="00081D62" w:rsidRDefault="00081D62">
          <w:pPr>
            <w:pStyle w:val="TOC1"/>
            <w:tabs>
              <w:tab w:val="right" w:leader="dot" w:pos="9350"/>
            </w:tabs>
            <w:rPr>
              <w:rFonts w:eastAsiaTheme="minorEastAsia" w:cstheme="minorBidi"/>
              <w:b w:val="0"/>
              <w:noProof/>
              <w:sz w:val="22"/>
              <w:szCs w:val="22"/>
            </w:rPr>
          </w:pPr>
          <w:r>
            <w:rPr>
              <w:noProof/>
            </w:rPr>
            <w:t>6. Appendix 2 – Operational Data</w:t>
          </w:r>
          <w:r>
            <w:rPr>
              <w:noProof/>
            </w:rPr>
            <w:tab/>
          </w:r>
          <w:r>
            <w:rPr>
              <w:noProof/>
            </w:rPr>
            <w:fldChar w:fldCharType="begin"/>
          </w:r>
          <w:r>
            <w:rPr>
              <w:noProof/>
            </w:rPr>
            <w:instrText xml:space="preserve"> PAGEREF _Toc6922212 \h </w:instrText>
          </w:r>
          <w:r>
            <w:rPr>
              <w:noProof/>
            </w:rPr>
          </w:r>
          <w:r>
            <w:rPr>
              <w:noProof/>
            </w:rPr>
            <w:fldChar w:fldCharType="separate"/>
          </w:r>
          <w:r>
            <w:rPr>
              <w:noProof/>
            </w:rPr>
            <w:t>19</w:t>
          </w:r>
          <w:r>
            <w:rPr>
              <w:noProof/>
            </w:rPr>
            <w:fldChar w:fldCharType="end"/>
          </w:r>
        </w:p>
        <w:p w14:paraId="1FD63AAA" w14:textId="3C17C705"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6.1.</w:t>
          </w:r>
          <w:r>
            <w:rPr>
              <w:noProof/>
            </w:rPr>
            <w:t xml:space="preserve"> Periodic Data</w:t>
          </w:r>
          <w:r>
            <w:rPr>
              <w:noProof/>
            </w:rPr>
            <w:tab/>
          </w:r>
          <w:r>
            <w:rPr>
              <w:noProof/>
            </w:rPr>
            <w:fldChar w:fldCharType="begin"/>
          </w:r>
          <w:r>
            <w:rPr>
              <w:noProof/>
            </w:rPr>
            <w:instrText xml:space="preserve"> PAGEREF _Toc6922213 \h </w:instrText>
          </w:r>
          <w:r>
            <w:rPr>
              <w:noProof/>
            </w:rPr>
          </w:r>
          <w:r>
            <w:rPr>
              <w:noProof/>
            </w:rPr>
            <w:fldChar w:fldCharType="separate"/>
          </w:r>
          <w:r>
            <w:rPr>
              <w:noProof/>
            </w:rPr>
            <w:t>19</w:t>
          </w:r>
          <w:r>
            <w:rPr>
              <w:noProof/>
            </w:rPr>
            <w:fldChar w:fldCharType="end"/>
          </w:r>
        </w:p>
        <w:p w14:paraId="789558A2" w14:textId="08D038ED"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6.2.</w:t>
          </w:r>
          <w:r>
            <w:rPr>
              <w:noProof/>
            </w:rPr>
            <w:t xml:space="preserve"> Event-Driven Data</w:t>
          </w:r>
          <w:r>
            <w:rPr>
              <w:noProof/>
            </w:rPr>
            <w:tab/>
          </w:r>
          <w:r>
            <w:rPr>
              <w:noProof/>
            </w:rPr>
            <w:fldChar w:fldCharType="begin"/>
          </w:r>
          <w:r>
            <w:rPr>
              <w:noProof/>
            </w:rPr>
            <w:instrText xml:space="preserve"> PAGEREF _Toc6922214 \h </w:instrText>
          </w:r>
          <w:r>
            <w:rPr>
              <w:noProof/>
            </w:rPr>
          </w:r>
          <w:r>
            <w:rPr>
              <w:noProof/>
            </w:rPr>
            <w:fldChar w:fldCharType="separate"/>
          </w:r>
          <w:r>
            <w:rPr>
              <w:noProof/>
            </w:rPr>
            <w:t>19</w:t>
          </w:r>
          <w:r>
            <w:rPr>
              <w:noProof/>
            </w:rPr>
            <w:fldChar w:fldCharType="end"/>
          </w:r>
        </w:p>
        <w:p w14:paraId="147626A1" w14:textId="3152BCE5" w:rsidR="00081D62" w:rsidRDefault="00081D62">
          <w:pPr>
            <w:pStyle w:val="TOC1"/>
            <w:tabs>
              <w:tab w:val="right" w:leader="dot" w:pos="9350"/>
            </w:tabs>
            <w:rPr>
              <w:rFonts w:eastAsiaTheme="minorEastAsia" w:cstheme="minorBidi"/>
              <w:b w:val="0"/>
              <w:noProof/>
              <w:sz w:val="22"/>
              <w:szCs w:val="22"/>
            </w:rPr>
          </w:pPr>
          <w:r>
            <w:rPr>
              <w:noProof/>
            </w:rPr>
            <w:t>7. Appendix 3 – Graphical User Interface (GUI) Layouts</w:t>
          </w:r>
          <w:r>
            <w:rPr>
              <w:noProof/>
            </w:rPr>
            <w:tab/>
          </w:r>
          <w:r>
            <w:rPr>
              <w:noProof/>
            </w:rPr>
            <w:fldChar w:fldCharType="begin"/>
          </w:r>
          <w:r>
            <w:rPr>
              <w:noProof/>
            </w:rPr>
            <w:instrText xml:space="preserve"> PAGEREF _Toc6922215 \h </w:instrText>
          </w:r>
          <w:r>
            <w:rPr>
              <w:noProof/>
            </w:rPr>
          </w:r>
          <w:r>
            <w:rPr>
              <w:noProof/>
            </w:rPr>
            <w:fldChar w:fldCharType="separate"/>
          </w:r>
          <w:r>
            <w:rPr>
              <w:noProof/>
            </w:rPr>
            <w:t>20</w:t>
          </w:r>
          <w:r>
            <w:rPr>
              <w:noProof/>
            </w:rPr>
            <w:fldChar w:fldCharType="end"/>
          </w:r>
        </w:p>
        <w:p w14:paraId="13B4B7FF" w14:textId="0AAE0626"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7.1.</w:t>
          </w:r>
          <w:r>
            <w:rPr>
              <w:noProof/>
            </w:rPr>
            <w:t xml:space="preserve"> Power-On Self-Test (POST)</w:t>
          </w:r>
          <w:r>
            <w:rPr>
              <w:noProof/>
            </w:rPr>
            <w:tab/>
          </w:r>
          <w:r>
            <w:rPr>
              <w:noProof/>
            </w:rPr>
            <w:fldChar w:fldCharType="begin"/>
          </w:r>
          <w:r>
            <w:rPr>
              <w:noProof/>
            </w:rPr>
            <w:instrText xml:space="preserve"> PAGEREF _Toc6922216 \h </w:instrText>
          </w:r>
          <w:r>
            <w:rPr>
              <w:noProof/>
            </w:rPr>
          </w:r>
          <w:r>
            <w:rPr>
              <w:noProof/>
            </w:rPr>
            <w:fldChar w:fldCharType="separate"/>
          </w:r>
          <w:r>
            <w:rPr>
              <w:noProof/>
            </w:rPr>
            <w:t>20</w:t>
          </w:r>
          <w:r>
            <w:rPr>
              <w:noProof/>
            </w:rPr>
            <w:fldChar w:fldCharType="end"/>
          </w:r>
        </w:p>
        <w:p w14:paraId="17036C62" w14:textId="42A21F5D" w:rsidR="00081D62" w:rsidRDefault="00081D62">
          <w:pPr>
            <w:pStyle w:val="TOC2"/>
            <w:tabs>
              <w:tab w:val="right" w:leader="dot" w:pos="9350"/>
            </w:tabs>
            <w:rPr>
              <w:rFonts w:eastAsiaTheme="minorEastAsia" w:cstheme="minorBidi"/>
              <w:b w:val="0"/>
              <w:noProof/>
            </w:rPr>
          </w:pPr>
          <w:r w:rsidRPr="002507EA">
            <w:rPr>
              <w:noProof/>
              <w14:scene3d>
                <w14:camera w14:prst="orthographicFront"/>
                <w14:lightRig w14:rig="threePt" w14:dir="t">
                  <w14:rot w14:lat="0" w14:lon="0" w14:rev="0"/>
                </w14:lightRig>
              </w14:scene3d>
            </w:rPr>
            <w:t>7.2.</w:t>
          </w:r>
          <w:r>
            <w:rPr>
              <w:noProof/>
            </w:rPr>
            <w:t xml:space="preserve"> Cooling Control &amp; Status GUI</w:t>
          </w:r>
          <w:r>
            <w:rPr>
              <w:noProof/>
            </w:rPr>
            <w:tab/>
          </w:r>
          <w:r>
            <w:rPr>
              <w:noProof/>
            </w:rPr>
            <w:fldChar w:fldCharType="begin"/>
          </w:r>
          <w:r>
            <w:rPr>
              <w:noProof/>
            </w:rPr>
            <w:instrText xml:space="preserve"> PAGEREF _Toc6922217 \h </w:instrText>
          </w:r>
          <w:r>
            <w:rPr>
              <w:noProof/>
            </w:rPr>
          </w:r>
          <w:r>
            <w:rPr>
              <w:noProof/>
            </w:rPr>
            <w:fldChar w:fldCharType="separate"/>
          </w:r>
          <w:r>
            <w:rPr>
              <w:noProof/>
            </w:rPr>
            <w:t>20</w:t>
          </w:r>
          <w:r>
            <w:rPr>
              <w:noProof/>
            </w:rPr>
            <w:fldChar w:fldCharType="end"/>
          </w:r>
        </w:p>
        <w:p w14:paraId="01A2A901" w14:textId="404E3512" w:rsidR="00A275A8" w:rsidRDefault="006832D8">
          <w:r>
            <w:fldChar w:fldCharType="end"/>
          </w:r>
        </w:p>
      </w:sdtContent>
    </w:sdt>
    <w:p w14:paraId="65766CD5" w14:textId="7E0E9E37" w:rsidR="0028169D" w:rsidRPr="003C61AA" w:rsidRDefault="00207043" w:rsidP="0028169D">
      <w:pPr>
        <w:pStyle w:val="Heading1"/>
      </w:pPr>
      <w:r w:rsidRPr="0028169D">
        <w:lastRenderedPageBreak/>
        <w:t xml:space="preserve"> </w:t>
      </w:r>
      <w:bookmarkStart w:id="2" w:name="_Toc221353040"/>
      <w:bookmarkStart w:id="3" w:name="_Toc6922180"/>
      <w:r w:rsidRPr="003C61AA">
        <w:t>Purpose</w:t>
      </w:r>
      <w:bookmarkEnd w:id="2"/>
      <w:bookmarkEnd w:id="3"/>
    </w:p>
    <w:p w14:paraId="0B3A0485" w14:textId="7C12C2E7" w:rsidR="0028169D" w:rsidRDefault="0028169D" w:rsidP="001C196F">
      <w:pPr>
        <w:pStyle w:val="Heading2"/>
      </w:pPr>
      <w:bookmarkStart w:id="4" w:name="_Toc221353041"/>
      <w:bookmarkStart w:id="5" w:name="_Toc6922181"/>
      <w:r>
        <w:t>Introduction and Scope</w:t>
      </w:r>
      <w:bookmarkEnd w:id="4"/>
      <w:bookmarkEnd w:id="5"/>
    </w:p>
    <w:p w14:paraId="4BCC0D53" w14:textId="0A4DFA6D" w:rsidR="0028169D" w:rsidRDefault="0028169D" w:rsidP="00005DEB">
      <w:r w:rsidRPr="00005DEB">
        <w:t xml:space="preserve">This document provides </w:t>
      </w:r>
      <w:r w:rsidR="00FA17C3" w:rsidRPr="00005DEB">
        <w:t>top-level</w:t>
      </w:r>
      <w:r w:rsidRPr="00005DEB">
        <w:t xml:space="preserve"> </w:t>
      </w:r>
      <w:r w:rsidR="00397D14" w:rsidRPr="00005DEB">
        <w:t>d</w:t>
      </w:r>
      <w:r w:rsidRPr="00005DEB">
        <w:t xml:space="preserve">esign </w:t>
      </w:r>
      <w:r w:rsidR="00397D14" w:rsidRPr="00005DEB">
        <w:t>s</w:t>
      </w:r>
      <w:r w:rsidRPr="00005DEB">
        <w:t xml:space="preserve">pecifications for </w:t>
      </w:r>
      <w:r w:rsidR="009C13E5">
        <w:t>Welkins</w:t>
      </w:r>
      <w:r w:rsidR="00DD1FD8" w:rsidRPr="00005DEB">
        <w:t>’ Thermal Regulating System</w:t>
      </w:r>
      <w:r w:rsidR="007A4BDE">
        <w:t xml:space="preserve"> developed and manufactured for Thermaquil—the THQ System—</w:t>
      </w:r>
      <w:r w:rsidR="007C63C1" w:rsidRPr="00005DEB">
        <w:t xml:space="preserve">including </w:t>
      </w:r>
      <w:r w:rsidRPr="00005DEB">
        <w:t>performance requirements and design specifications.</w:t>
      </w:r>
    </w:p>
    <w:p w14:paraId="6E39A93F" w14:textId="77777777" w:rsidR="006413D0" w:rsidRPr="00005DEB" w:rsidRDefault="006413D0" w:rsidP="00005DEB"/>
    <w:p w14:paraId="6E280D07" w14:textId="0BA603EE" w:rsidR="0028169D" w:rsidRPr="00005DEB" w:rsidRDefault="0028169D" w:rsidP="00005DEB">
      <w:r w:rsidRPr="00005DEB">
        <w:t xml:space="preserve">This document applies only to the </w:t>
      </w:r>
      <w:r w:rsidR="007A4BDE">
        <w:t>THQ System</w:t>
      </w:r>
      <w:r w:rsidRPr="00005DEB">
        <w:t xml:space="preserve"> mechanics, electronics, and software.  It defines the major system components, software functionality, and electrical interface requirements.</w:t>
      </w:r>
    </w:p>
    <w:p w14:paraId="1188CA9E" w14:textId="77777777" w:rsidR="0028169D" w:rsidRPr="003C61AA" w:rsidRDefault="0028169D" w:rsidP="001C196F">
      <w:pPr>
        <w:pStyle w:val="Heading2"/>
      </w:pPr>
      <w:bookmarkStart w:id="6" w:name="_Toc221353042"/>
      <w:bookmarkStart w:id="7" w:name="_Toc6922182"/>
      <w:bookmarkStart w:id="8" w:name="_Toc101158474"/>
      <w:r w:rsidRPr="003C61AA">
        <w:t>Overview</w:t>
      </w:r>
      <w:bookmarkEnd w:id="6"/>
      <w:bookmarkEnd w:id="7"/>
    </w:p>
    <w:p w14:paraId="6799B226" w14:textId="198353EF" w:rsidR="00EF6490" w:rsidRDefault="00E14100" w:rsidP="00005DEB">
      <w:r>
        <w:t xml:space="preserve">The </w:t>
      </w:r>
      <w:r w:rsidR="007A4BDE">
        <w:t xml:space="preserve">THQ </w:t>
      </w:r>
      <w:r>
        <w:t>System</w:t>
      </w:r>
      <w:r w:rsidR="00BB67A7" w:rsidRPr="00005DEB">
        <w:t xml:space="preserve"> </w:t>
      </w:r>
      <w:r w:rsidR="0028169D" w:rsidRPr="00005DEB">
        <w:t xml:space="preserve">is a thermoregulatory device </w:t>
      </w:r>
      <w:r w:rsidR="003208C1" w:rsidRPr="00005DEB">
        <w:t xml:space="preserve">for </w:t>
      </w:r>
      <w:r w:rsidR="007A4BDE">
        <w:t xml:space="preserve">increase and </w:t>
      </w:r>
      <w:r w:rsidR="003208C1" w:rsidRPr="00005DEB">
        <w:t xml:space="preserve">reduction of </w:t>
      </w:r>
      <w:r w:rsidR="0028169D" w:rsidRPr="00005DEB">
        <w:t xml:space="preserve">patient temperature. The </w:t>
      </w:r>
      <w:r>
        <w:t>s</w:t>
      </w:r>
      <w:r w:rsidR="0028169D" w:rsidRPr="00005DEB">
        <w:t xml:space="preserve">ystem delivers temperature-controlled </w:t>
      </w:r>
      <w:r w:rsidR="0087245D" w:rsidRPr="00005DEB">
        <w:t>c</w:t>
      </w:r>
      <w:r w:rsidR="0028169D" w:rsidRPr="00005DEB">
        <w:t xml:space="preserve">oolant ranging between </w:t>
      </w:r>
      <w:r w:rsidR="005C25EA" w:rsidRPr="00005DEB">
        <w:t>-5</w:t>
      </w:r>
      <w:r w:rsidR="0028169D" w:rsidRPr="00005DEB">
        <w:t>°C (</w:t>
      </w:r>
      <w:r w:rsidR="005C25EA" w:rsidRPr="00005DEB">
        <w:t>23</w:t>
      </w:r>
      <w:r w:rsidR="0028169D" w:rsidRPr="00005DEB">
        <w:t>°F) and 5</w:t>
      </w:r>
      <w:r w:rsidR="007A4BDE">
        <w:t>0</w:t>
      </w:r>
      <w:r w:rsidR="0028169D" w:rsidRPr="00005DEB">
        <w:t>°C (</w:t>
      </w:r>
      <w:r w:rsidR="007A4BDE">
        <w:t>122</w:t>
      </w:r>
      <w:r w:rsidR="0028169D" w:rsidRPr="00005DEB">
        <w:t xml:space="preserve">°F) to a patient-contacting </w:t>
      </w:r>
      <w:r w:rsidR="007A4BDE">
        <w:t xml:space="preserve">liquid circulating </w:t>
      </w:r>
      <w:r w:rsidR="0087245D" w:rsidRPr="00005DEB">
        <w:t>p</w:t>
      </w:r>
      <w:r w:rsidR="0028169D" w:rsidRPr="00005DEB">
        <w:t xml:space="preserve">ad, resulting in heat exchange between the </w:t>
      </w:r>
      <w:r w:rsidR="0087245D" w:rsidRPr="00005DEB">
        <w:t>c</w:t>
      </w:r>
      <w:r w:rsidR="0028169D" w:rsidRPr="00005DEB">
        <w:t xml:space="preserve">oolant and the patient. The major components of the </w:t>
      </w:r>
      <w:r w:rsidR="007A4BDE">
        <w:t xml:space="preserve">THQ </w:t>
      </w:r>
      <w:r>
        <w:t>system</w:t>
      </w:r>
      <w:r w:rsidR="003208C1" w:rsidRPr="00005DEB">
        <w:t xml:space="preserve"> </w:t>
      </w:r>
      <w:r w:rsidR="0028169D" w:rsidRPr="00005DEB">
        <w:t xml:space="preserve">are </w:t>
      </w:r>
      <w:r w:rsidR="00EF6490" w:rsidRPr="00005DEB">
        <w:t xml:space="preserve">a </w:t>
      </w:r>
      <w:r w:rsidR="0087245D" w:rsidRPr="00005DEB">
        <w:t>c</w:t>
      </w:r>
      <w:r w:rsidR="0028169D" w:rsidRPr="00005DEB">
        <w:t xml:space="preserve">onditioning </w:t>
      </w:r>
      <w:r w:rsidR="0087245D" w:rsidRPr="00005DEB">
        <w:t>u</w:t>
      </w:r>
      <w:r w:rsidR="0028169D" w:rsidRPr="00005DEB">
        <w:t xml:space="preserve">nit, </w:t>
      </w:r>
      <w:r w:rsidR="0087245D" w:rsidRPr="00005DEB">
        <w:t>c</w:t>
      </w:r>
      <w:r w:rsidR="0028169D" w:rsidRPr="00005DEB">
        <w:t xml:space="preserve">ooling </w:t>
      </w:r>
      <w:r w:rsidR="0087245D" w:rsidRPr="00005DEB">
        <w:t>p</w:t>
      </w:r>
      <w:r w:rsidR="0028169D" w:rsidRPr="00005DEB">
        <w:t>ad</w:t>
      </w:r>
      <w:r w:rsidR="00EF6490" w:rsidRPr="00005DEB">
        <w:t xml:space="preserve"> and</w:t>
      </w:r>
      <w:r w:rsidR="0028169D" w:rsidRPr="00005DEB">
        <w:t xml:space="preserve"> </w:t>
      </w:r>
      <w:r w:rsidR="0087245D" w:rsidRPr="00005DEB">
        <w:t>u</w:t>
      </w:r>
      <w:r w:rsidR="0028169D" w:rsidRPr="00005DEB">
        <w:t>mbilical.</w:t>
      </w:r>
    </w:p>
    <w:p w14:paraId="2B34E62A" w14:textId="77777777" w:rsidR="006413D0" w:rsidRPr="00005DEB" w:rsidRDefault="006413D0" w:rsidP="00005DEB"/>
    <w:p w14:paraId="5897B5BB" w14:textId="366B6051" w:rsidR="0028169D" w:rsidRPr="00005DEB" w:rsidRDefault="0028169D" w:rsidP="00005DEB">
      <w:r w:rsidRPr="00005DEB">
        <w:t xml:space="preserve">The </w:t>
      </w:r>
      <w:r w:rsidR="0087245D" w:rsidRPr="00005DEB">
        <w:t>c</w:t>
      </w:r>
      <w:r w:rsidRPr="00005DEB">
        <w:t xml:space="preserve">onditioning </w:t>
      </w:r>
      <w:r w:rsidR="0087245D" w:rsidRPr="00005DEB">
        <w:t>u</w:t>
      </w:r>
      <w:r w:rsidRPr="00005DEB">
        <w:t xml:space="preserve">nit </w:t>
      </w:r>
      <w:r w:rsidR="00342E0A" w:rsidRPr="00005DEB">
        <w:t xml:space="preserve">features </w:t>
      </w:r>
      <w:r w:rsidRPr="00005DEB">
        <w:t xml:space="preserve">a </w:t>
      </w:r>
      <w:r w:rsidR="004918AA" w:rsidRPr="00005DEB">
        <w:t>t</w:t>
      </w:r>
      <w:r w:rsidRPr="00005DEB">
        <w:t xml:space="preserve">ouchscreen </w:t>
      </w:r>
      <w:r w:rsidR="004918AA" w:rsidRPr="00005DEB">
        <w:t>with g</w:t>
      </w:r>
      <w:r w:rsidRPr="00005DEB">
        <w:t xml:space="preserve">raphical </w:t>
      </w:r>
      <w:r w:rsidR="004918AA" w:rsidRPr="00005DEB">
        <w:t>u</w:t>
      </w:r>
      <w:r w:rsidRPr="00005DEB">
        <w:t xml:space="preserve">ser </w:t>
      </w:r>
      <w:r w:rsidR="004918AA" w:rsidRPr="00005DEB">
        <w:t>i</w:t>
      </w:r>
      <w:r w:rsidRPr="00005DEB">
        <w:t>nterface</w:t>
      </w:r>
      <w:r w:rsidR="004918AA" w:rsidRPr="00005DEB">
        <w:t xml:space="preserve"> (GUI</w:t>
      </w:r>
      <w:r w:rsidRPr="00005DEB">
        <w:t xml:space="preserve">), </w:t>
      </w:r>
      <w:r w:rsidR="004918AA" w:rsidRPr="00005DEB">
        <w:t>physical ON-OFF switch</w:t>
      </w:r>
      <w:r w:rsidR="0008683A" w:rsidRPr="00005DEB">
        <w:t>, DC power port</w:t>
      </w:r>
      <w:r w:rsidR="004918AA" w:rsidRPr="00005DEB">
        <w:t xml:space="preserve">, </w:t>
      </w:r>
      <w:r w:rsidR="0008683A" w:rsidRPr="00005DEB">
        <w:t xml:space="preserve">quick-release </w:t>
      </w:r>
      <w:r w:rsidR="004918AA" w:rsidRPr="00005DEB">
        <w:t>u</w:t>
      </w:r>
      <w:r w:rsidRPr="00005DEB">
        <w:t xml:space="preserve">mbilical </w:t>
      </w:r>
      <w:r w:rsidR="004918AA" w:rsidRPr="00005DEB">
        <w:t>c</w:t>
      </w:r>
      <w:r w:rsidR="00866103" w:rsidRPr="00005DEB">
        <w:t>onnector</w:t>
      </w:r>
      <w:r w:rsidRPr="00005DEB">
        <w:t xml:space="preserve">, </w:t>
      </w:r>
      <w:r w:rsidR="0008683A" w:rsidRPr="00005DEB">
        <w:t>and c</w:t>
      </w:r>
      <w:r w:rsidR="004D7F2E" w:rsidRPr="00005DEB">
        <w:t xml:space="preserve">arry </w:t>
      </w:r>
      <w:r w:rsidR="0008683A" w:rsidRPr="00005DEB">
        <w:t>h</w:t>
      </w:r>
      <w:r w:rsidR="004D7F2E" w:rsidRPr="00005DEB">
        <w:t>andle. I</w:t>
      </w:r>
      <w:r w:rsidRPr="00005DEB">
        <w:t xml:space="preserve">nside the </w:t>
      </w:r>
      <w:r w:rsidR="0087245D" w:rsidRPr="00005DEB">
        <w:t>c</w:t>
      </w:r>
      <w:r w:rsidRPr="00005DEB">
        <w:t xml:space="preserve">onditioning </w:t>
      </w:r>
      <w:r w:rsidR="0087245D" w:rsidRPr="00005DEB">
        <w:t>u</w:t>
      </w:r>
      <w:r w:rsidRPr="00005DEB">
        <w:t>nit are a</w:t>
      </w:r>
      <w:r w:rsidR="004D7F2E" w:rsidRPr="00005DEB">
        <w:t xml:space="preserve"> </w:t>
      </w:r>
      <w:r w:rsidR="004918AA" w:rsidRPr="00005DEB">
        <w:t>t</w:t>
      </w:r>
      <w:r w:rsidR="004D7F2E" w:rsidRPr="00005DEB">
        <w:t xml:space="preserve">hermoelectric </w:t>
      </w:r>
      <w:r w:rsidR="0008683A" w:rsidRPr="00005DEB">
        <w:t>l</w:t>
      </w:r>
      <w:r w:rsidR="004918AA" w:rsidRPr="00005DEB">
        <w:t xml:space="preserve">iquid </w:t>
      </w:r>
      <w:r w:rsidR="0008683A" w:rsidRPr="00005DEB">
        <w:t>c</w:t>
      </w:r>
      <w:r w:rsidR="004918AA" w:rsidRPr="00005DEB">
        <w:t xml:space="preserve">ooling </w:t>
      </w:r>
      <w:r w:rsidR="0008683A" w:rsidRPr="00005DEB">
        <w:t>module (LCM)</w:t>
      </w:r>
      <w:r w:rsidRPr="00005DEB">
        <w:t>,</w:t>
      </w:r>
      <w:r w:rsidR="00E14100">
        <w:t xml:space="preserve"> a liquid heating module, two</w:t>
      </w:r>
      <w:r w:rsidRPr="00005DEB">
        <w:t xml:space="preserve"> </w:t>
      </w:r>
      <w:r w:rsidR="009D1E6A" w:rsidRPr="00005DEB">
        <w:t>liquid pump</w:t>
      </w:r>
      <w:r w:rsidR="00E14100">
        <w:t>s</w:t>
      </w:r>
      <w:r w:rsidR="009D1E6A" w:rsidRPr="00005DEB">
        <w:t xml:space="preserve">, </w:t>
      </w:r>
      <w:r w:rsidR="00E14100">
        <w:t xml:space="preserve">two </w:t>
      </w:r>
      <w:r w:rsidR="0087245D" w:rsidRPr="00005DEB">
        <w:t>coolant r</w:t>
      </w:r>
      <w:r w:rsidRPr="00005DEB">
        <w:t>eservoir</w:t>
      </w:r>
      <w:r w:rsidR="00E14100">
        <w:t>s</w:t>
      </w:r>
      <w:r w:rsidRPr="00005DEB">
        <w:t>,</w:t>
      </w:r>
      <w:r w:rsidR="00E14100">
        <w:t xml:space="preserve"> </w:t>
      </w:r>
      <w:r w:rsidR="0087245D" w:rsidRPr="00005DEB">
        <w:t>c</w:t>
      </w:r>
      <w:r w:rsidRPr="00005DEB">
        <w:t xml:space="preserve">ontroller </w:t>
      </w:r>
      <w:r w:rsidR="0087245D" w:rsidRPr="00005DEB">
        <w:t>b</w:t>
      </w:r>
      <w:r w:rsidRPr="00005DEB">
        <w:t xml:space="preserve">oard, </w:t>
      </w:r>
      <w:proofErr w:type="gramStart"/>
      <w:r w:rsidR="007D0DD7" w:rsidRPr="00005DEB">
        <w:t>sensors</w:t>
      </w:r>
      <w:proofErr w:type="gramEnd"/>
      <w:r w:rsidR="007D0DD7" w:rsidRPr="00005DEB">
        <w:t xml:space="preserve"> </w:t>
      </w:r>
      <w:r w:rsidRPr="00005DEB">
        <w:t>and various hydraulic</w:t>
      </w:r>
      <w:r w:rsidR="004423F2" w:rsidRPr="00005DEB">
        <w:t xml:space="preserve"> </w:t>
      </w:r>
      <w:r w:rsidRPr="00005DEB">
        <w:t>components (</w:t>
      </w:r>
      <w:r w:rsidR="00E14100">
        <w:t>solenoid</w:t>
      </w:r>
      <w:r w:rsidRPr="00005DEB">
        <w:t xml:space="preserve"> valves, tub</w:t>
      </w:r>
      <w:r w:rsidR="004423F2" w:rsidRPr="00005DEB">
        <w:t>ing, etc.</w:t>
      </w:r>
      <w:r w:rsidRPr="00005DEB">
        <w:t>).</w:t>
      </w:r>
      <w:r w:rsidR="00EF6490" w:rsidRPr="00005DEB">
        <w:t xml:space="preserve"> </w:t>
      </w:r>
      <w:r w:rsidR="00AB4CE4" w:rsidRPr="00005DEB">
        <w:t xml:space="preserve">Sensors </w:t>
      </w:r>
      <w:r w:rsidR="007D0DD7" w:rsidRPr="00005DEB">
        <w:t xml:space="preserve">inside the conditioning unit </w:t>
      </w:r>
      <w:r w:rsidRPr="00005DEB">
        <w:t xml:space="preserve">provide temperature feedback to </w:t>
      </w:r>
      <w:r w:rsidR="00AB4CE4" w:rsidRPr="00005DEB">
        <w:t>the</w:t>
      </w:r>
      <w:r w:rsidRPr="00005DEB">
        <w:t xml:space="preserve"> control algorithm, which automatically </w:t>
      </w:r>
      <w:r w:rsidR="00AB4CE4" w:rsidRPr="00005DEB">
        <w:t xml:space="preserve">modulates </w:t>
      </w:r>
      <w:r w:rsidRPr="00005DEB">
        <w:t xml:space="preserve">circulating </w:t>
      </w:r>
      <w:r w:rsidR="009D1E6A" w:rsidRPr="00005DEB">
        <w:t>c</w:t>
      </w:r>
      <w:r w:rsidRPr="00005DEB">
        <w:t xml:space="preserve">oolant to achieve </w:t>
      </w:r>
      <w:r w:rsidR="006A6501" w:rsidRPr="00005DEB">
        <w:t xml:space="preserve">a </w:t>
      </w:r>
      <w:r w:rsidRPr="00005DEB">
        <w:t xml:space="preserve">target </w:t>
      </w:r>
      <w:r w:rsidR="00246962" w:rsidRPr="00005DEB">
        <w:t xml:space="preserve">temperature </w:t>
      </w:r>
      <w:r w:rsidRPr="00005DEB">
        <w:t>determined by the clinician.</w:t>
      </w:r>
    </w:p>
    <w:p w14:paraId="5986BE08" w14:textId="77777777" w:rsidR="006413D0" w:rsidRDefault="006413D0" w:rsidP="00005DEB"/>
    <w:p w14:paraId="2D877089" w14:textId="4B42D1F0" w:rsidR="0072024B" w:rsidRPr="00005DEB" w:rsidRDefault="0028169D" w:rsidP="00005DEB">
      <w:r w:rsidRPr="00005DEB">
        <w:t xml:space="preserve">The </w:t>
      </w:r>
      <w:r w:rsidR="00BA02BE">
        <w:t>liquid circulating</w:t>
      </w:r>
      <w:r w:rsidRPr="00005DEB">
        <w:t xml:space="preserve"> </w:t>
      </w:r>
      <w:r w:rsidR="00501CC8" w:rsidRPr="00005DEB">
        <w:t>p</w:t>
      </w:r>
      <w:r w:rsidRPr="00005DEB">
        <w:t xml:space="preserve">ad is a </w:t>
      </w:r>
      <w:r w:rsidR="00C143E1" w:rsidRPr="00005DEB">
        <w:t xml:space="preserve">patient-contacting </w:t>
      </w:r>
      <w:r w:rsidR="00BA1EBB" w:rsidRPr="00005DEB">
        <w:t>h</w:t>
      </w:r>
      <w:r w:rsidRPr="00005DEB">
        <w:t xml:space="preserve">eat </w:t>
      </w:r>
      <w:r w:rsidR="00BA1EBB" w:rsidRPr="00005DEB">
        <w:t>e</w:t>
      </w:r>
      <w:r w:rsidRPr="00005DEB">
        <w:t>xchanger</w:t>
      </w:r>
      <w:r w:rsidR="007F267F" w:rsidRPr="00005DEB">
        <w:t xml:space="preserve"> that </w:t>
      </w:r>
      <w:r w:rsidR="0047569C" w:rsidRPr="00005DEB">
        <w:t>facilitate</w:t>
      </w:r>
      <w:r w:rsidR="00C143E1" w:rsidRPr="00005DEB">
        <w:t>s</w:t>
      </w:r>
      <w:r w:rsidR="0047569C" w:rsidRPr="00005DEB">
        <w:t xml:space="preserve"> </w:t>
      </w:r>
      <w:r w:rsidR="007F267F" w:rsidRPr="00005DEB">
        <w:t>conductive heat transfer between patient</w:t>
      </w:r>
      <w:r w:rsidR="00653139" w:rsidRPr="00005DEB">
        <w:t xml:space="preserve"> and </w:t>
      </w:r>
      <w:r w:rsidR="00324E2B" w:rsidRPr="00005DEB">
        <w:t>circulating coolant</w:t>
      </w:r>
      <w:r w:rsidRPr="00005DEB">
        <w:t>.</w:t>
      </w:r>
    </w:p>
    <w:p w14:paraId="4F23AD83" w14:textId="73F05AF5" w:rsidR="0028169D" w:rsidRPr="00005DEB" w:rsidRDefault="0072024B" w:rsidP="00005DEB">
      <w:r w:rsidRPr="00005DEB">
        <w:t>The u</w:t>
      </w:r>
      <w:r w:rsidR="0028169D" w:rsidRPr="00005DEB">
        <w:t>mbilical</w:t>
      </w:r>
      <w:r w:rsidR="00014E43" w:rsidRPr="00005DEB">
        <w:t xml:space="preserve"> is </w:t>
      </w:r>
      <w:r w:rsidR="00C143E1" w:rsidRPr="00005DEB">
        <w:t xml:space="preserve">an </w:t>
      </w:r>
      <w:r w:rsidR="00014E43" w:rsidRPr="00005DEB">
        <w:t>insulated tub</w:t>
      </w:r>
      <w:r w:rsidR="00C143E1" w:rsidRPr="00005DEB">
        <w:t>e</w:t>
      </w:r>
      <w:r w:rsidR="00014E43" w:rsidRPr="00005DEB">
        <w:t xml:space="preserve"> </w:t>
      </w:r>
      <w:r w:rsidR="00C143E1" w:rsidRPr="00005DEB">
        <w:t>connecting</w:t>
      </w:r>
      <w:r w:rsidR="00014E43" w:rsidRPr="00005DEB">
        <w:t>, and enabl</w:t>
      </w:r>
      <w:r w:rsidR="00C143E1" w:rsidRPr="00005DEB">
        <w:t>ing</w:t>
      </w:r>
      <w:r w:rsidR="00014E43" w:rsidRPr="00005DEB">
        <w:t xml:space="preserve"> circulation </w:t>
      </w:r>
      <w:r w:rsidR="00C143E1" w:rsidRPr="00005DEB">
        <w:t xml:space="preserve">of coolant </w:t>
      </w:r>
      <w:r w:rsidR="00014E43" w:rsidRPr="00005DEB">
        <w:t xml:space="preserve">between, the conditioning unit and patient-contacting </w:t>
      </w:r>
      <w:r w:rsidR="00BE3299" w:rsidRPr="00005DEB">
        <w:t xml:space="preserve">cooling </w:t>
      </w:r>
      <w:r w:rsidR="00690FED" w:rsidRPr="00005DEB">
        <w:t>pad</w:t>
      </w:r>
      <w:r w:rsidR="00014E43" w:rsidRPr="00005DEB">
        <w:t>.</w:t>
      </w:r>
    </w:p>
    <w:p w14:paraId="26C4479E" w14:textId="77777777" w:rsidR="0028169D" w:rsidRPr="003C61AA" w:rsidRDefault="0028169D" w:rsidP="001C196F">
      <w:pPr>
        <w:pStyle w:val="Heading2"/>
      </w:pPr>
      <w:bookmarkStart w:id="9" w:name="_Toc221353043"/>
      <w:bookmarkStart w:id="10" w:name="_Toc6922183"/>
      <w:r w:rsidRPr="003C61AA">
        <w:t>Indications for Use</w:t>
      </w:r>
      <w:bookmarkEnd w:id="9"/>
      <w:bookmarkEnd w:id="10"/>
    </w:p>
    <w:p w14:paraId="52FC47BF" w14:textId="289184A5" w:rsidR="0028169D" w:rsidRPr="006413D0" w:rsidRDefault="00BA02BE" w:rsidP="006413D0">
      <w:r>
        <w:t xml:space="preserve">The </w:t>
      </w:r>
      <w:r w:rsidR="007A4BDE">
        <w:t xml:space="preserve">THQ </w:t>
      </w:r>
      <w:r>
        <w:t>System</w:t>
      </w:r>
      <w:r w:rsidR="00BE3299" w:rsidRPr="006413D0">
        <w:t xml:space="preserve"> </w:t>
      </w:r>
      <w:r w:rsidR="0028169D" w:rsidRPr="006413D0">
        <w:t xml:space="preserve">is a thermal regulating system, indicated for temperature </w:t>
      </w:r>
      <w:r>
        <w:t xml:space="preserve">increase and </w:t>
      </w:r>
      <w:r w:rsidR="0028169D" w:rsidRPr="006413D0">
        <w:t>reduction in patients where clinically indicated.</w:t>
      </w:r>
    </w:p>
    <w:p w14:paraId="335951F0" w14:textId="77777777" w:rsidR="0028169D" w:rsidRPr="003C61AA" w:rsidRDefault="0028169D" w:rsidP="001C196F">
      <w:pPr>
        <w:pStyle w:val="Heading2"/>
      </w:pPr>
      <w:bookmarkStart w:id="11" w:name="_Toc221353044"/>
      <w:bookmarkStart w:id="12" w:name="_Toc6922184"/>
      <w:r w:rsidRPr="003C61AA">
        <w:t>Intended User</w:t>
      </w:r>
      <w:bookmarkEnd w:id="8"/>
      <w:bookmarkEnd w:id="11"/>
      <w:bookmarkEnd w:id="12"/>
    </w:p>
    <w:p w14:paraId="04A93F14" w14:textId="77777777" w:rsidR="0028169D" w:rsidRPr="006413D0" w:rsidRDefault="0028169D" w:rsidP="006413D0">
      <w:r w:rsidRPr="006413D0">
        <w:t xml:space="preserve">The system is intended for use by clinicians, surgeons, nurses, pharmacists and other hospital staff, in both civilian and military settings. </w:t>
      </w:r>
    </w:p>
    <w:p w14:paraId="6BE5A267" w14:textId="77777777" w:rsidR="0028169D" w:rsidRPr="003C61AA" w:rsidRDefault="0028169D" w:rsidP="001C196F">
      <w:pPr>
        <w:pStyle w:val="Heading2"/>
      </w:pPr>
      <w:bookmarkStart w:id="13" w:name="_Toc221353045"/>
      <w:bookmarkStart w:id="14" w:name="_Toc6922185"/>
      <w:r w:rsidRPr="003C61AA">
        <w:t>Ratings</w:t>
      </w:r>
      <w:bookmarkEnd w:id="13"/>
      <w:bookmarkEnd w:id="14"/>
    </w:p>
    <w:p w14:paraId="5ACB1D97" w14:textId="6625ED16" w:rsidR="0028169D" w:rsidRPr="006413D0" w:rsidRDefault="007A4BDE" w:rsidP="006413D0">
      <w:r>
        <w:t>THQ SYSTEM</w:t>
      </w:r>
      <w:r w:rsidR="00324E2B" w:rsidRPr="006413D0">
        <w:t xml:space="preserve"> </w:t>
      </w:r>
      <w:r w:rsidR="0028169D" w:rsidRPr="006413D0">
        <w:t xml:space="preserve">shall </w:t>
      </w:r>
      <w:r w:rsidR="00324E2B" w:rsidRPr="006413D0">
        <w:t xml:space="preserve">be compliant with </w:t>
      </w:r>
      <w:r w:rsidR="0028169D" w:rsidRPr="006413D0">
        <w:t xml:space="preserve">IEC 60601-1, IEC </w:t>
      </w:r>
      <w:proofErr w:type="gramStart"/>
      <w:r w:rsidR="0028169D" w:rsidRPr="006413D0">
        <w:t>60601-1-2</w:t>
      </w:r>
      <w:proofErr w:type="gramEnd"/>
      <w:r w:rsidR="0028169D" w:rsidRPr="006413D0">
        <w:t xml:space="preserve"> and IEC 60601-1-6, and designed for clearance through FDA (510k), CE and UL processes.</w:t>
      </w:r>
      <w:bookmarkStart w:id="15" w:name="_Toc101158477"/>
      <w:bookmarkStart w:id="16" w:name="_Toc221353046"/>
    </w:p>
    <w:p w14:paraId="47E24CA6" w14:textId="7BBC9D56" w:rsidR="0028169D" w:rsidRPr="003C61AA" w:rsidRDefault="00207043" w:rsidP="0028169D">
      <w:pPr>
        <w:pStyle w:val="Heading1"/>
      </w:pPr>
      <w:bookmarkStart w:id="17" w:name="_Toc6922186"/>
      <w:r w:rsidRPr="003C61AA">
        <w:lastRenderedPageBreak/>
        <w:t>Acronyms</w:t>
      </w:r>
      <w:r>
        <w:t xml:space="preserve">, </w:t>
      </w:r>
      <w:r w:rsidRPr="003C61AA">
        <w:t>Definitions</w:t>
      </w:r>
      <w:bookmarkEnd w:id="15"/>
      <w:r>
        <w:t xml:space="preserve"> </w:t>
      </w:r>
      <w:r w:rsidR="00265B64">
        <w:t>&amp;</w:t>
      </w:r>
      <w:r>
        <w:t xml:space="preserve"> References</w:t>
      </w:r>
      <w:bookmarkEnd w:id="16"/>
      <w:bookmarkEnd w:id="17"/>
    </w:p>
    <w:p w14:paraId="4FA36A73" w14:textId="793F224E" w:rsidR="0028169D" w:rsidRPr="003C61AA" w:rsidRDefault="0028169D" w:rsidP="001C196F">
      <w:pPr>
        <w:pStyle w:val="Heading2"/>
      </w:pPr>
      <w:bookmarkStart w:id="18" w:name="_Toc101158478"/>
      <w:bookmarkStart w:id="19" w:name="_Toc221353047"/>
      <w:bookmarkStart w:id="20" w:name="_Toc6922187"/>
      <w:r w:rsidRPr="003C61AA">
        <w:t>Acronyms</w:t>
      </w:r>
      <w:bookmarkEnd w:id="18"/>
      <w:bookmarkEnd w:id="19"/>
      <w:bookmarkEnd w:id="20"/>
    </w:p>
    <w:p w14:paraId="4B379811" w14:textId="77777777" w:rsidR="0028169D" w:rsidRDefault="0028169D" w:rsidP="00B15783">
      <w:pPr>
        <w:pStyle w:val="ListParagraph"/>
        <w:numPr>
          <w:ilvl w:val="0"/>
          <w:numId w:val="16"/>
        </w:numPr>
        <w:ind w:left="720"/>
        <w:contextualSpacing w:val="0"/>
      </w:pPr>
      <w:r w:rsidRPr="003C61AA">
        <w:t>ANSI – American National Standards Institute</w:t>
      </w:r>
    </w:p>
    <w:p w14:paraId="2ED1994C" w14:textId="77777777" w:rsidR="0028169D" w:rsidRPr="003C61AA" w:rsidRDefault="0028169D" w:rsidP="00B15783">
      <w:pPr>
        <w:pStyle w:val="ListParagraph"/>
        <w:numPr>
          <w:ilvl w:val="0"/>
          <w:numId w:val="16"/>
        </w:numPr>
        <w:ind w:left="720"/>
        <w:contextualSpacing w:val="0"/>
      </w:pPr>
      <w:r w:rsidRPr="003C61AA">
        <w:t>CSA – Canadian Standards Organization</w:t>
      </w:r>
    </w:p>
    <w:p w14:paraId="2FBA82E7" w14:textId="77777777" w:rsidR="0028169D" w:rsidRPr="003C61AA" w:rsidRDefault="0028169D" w:rsidP="00B15783">
      <w:pPr>
        <w:pStyle w:val="ListParagraph"/>
        <w:numPr>
          <w:ilvl w:val="0"/>
          <w:numId w:val="16"/>
        </w:numPr>
        <w:ind w:left="720"/>
        <w:contextualSpacing w:val="0"/>
      </w:pPr>
      <w:r>
        <w:t>dB – Decibel</w:t>
      </w:r>
    </w:p>
    <w:p w14:paraId="213CB4E8" w14:textId="77777777" w:rsidR="0028169D" w:rsidRPr="003C61AA" w:rsidRDefault="0028169D" w:rsidP="00B15783">
      <w:pPr>
        <w:pStyle w:val="ListParagraph"/>
        <w:numPr>
          <w:ilvl w:val="0"/>
          <w:numId w:val="16"/>
        </w:numPr>
        <w:ind w:left="720"/>
        <w:contextualSpacing w:val="0"/>
      </w:pPr>
      <w:r w:rsidRPr="003C61AA">
        <w:t>GB – Gigabyte</w:t>
      </w:r>
    </w:p>
    <w:p w14:paraId="30F4EBB8" w14:textId="77777777" w:rsidR="0028169D" w:rsidRPr="003C61AA" w:rsidRDefault="0028169D" w:rsidP="00B15783">
      <w:pPr>
        <w:pStyle w:val="ListParagraph"/>
        <w:numPr>
          <w:ilvl w:val="0"/>
          <w:numId w:val="16"/>
        </w:numPr>
        <w:ind w:left="720"/>
        <w:contextualSpacing w:val="0"/>
      </w:pPr>
      <w:r w:rsidRPr="003C61AA">
        <w:t xml:space="preserve">Hz – Hertz or </w:t>
      </w:r>
      <w:r>
        <w:t>c</w:t>
      </w:r>
      <w:r w:rsidRPr="003C61AA">
        <w:t xml:space="preserve">ycles </w:t>
      </w:r>
      <w:r>
        <w:t>p</w:t>
      </w:r>
      <w:r w:rsidRPr="003C61AA">
        <w:t xml:space="preserve">er </w:t>
      </w:r>
      <w:r>
        <w:t>s</w:t>
      </w:r>
      <w:r w:rsidRPr="003C61AA">
        <w:t>econd</w:t>
      </w:r>
    </w:p>
    <w:p w14:paraId="0CA76CE9" w14:textId="77777777" w:rsidR="0028169D" w:rsidRPr="003C61AA" w:rsidRDefault="0028169D" w:rsidP="00B15783">
      <w:pPr>
        <w:pStyle w:val="ListParagraph"/>
        <w:numPr>
          <w:ilvl w:val="0"/>
          <w:numId w:val="16"/>
        </w:numPr>
        <w:ind w:left="720"/>
        <w:contextualSpacing w:val="0"/>
      </w:pPr>
      <w:r w:rsidRPr="003C61AA">
        <w:t>IEC – International Electrotechnical Commission</w:t>
      </w:r>
    </w:p>
    <w:p w14:paraId="0E09D195" w14:textId="77777777" w:rsidR="0028169D" w:rsidRPr="003C61AA" w:rsidRDefault="0028169D" w:rsidP="00B15783">
      <w:pPr>
        <w:pStyle w:val="ListParagraph"/>
        <w:numPr>
          <w:ilvl w:val="0"/>
          <w:numId w:val="16"/>
        </w:numPr>
        <w:ind w:left="720"/>
        <w:contextualSpacing w:val="0"/>
      </w:pPr>
      <w:r w:rsidRPr="003C61AA">
        <w:t xml:space="preserve">mA – </w:t>
      </w:r>
      <w:r>
        <w:t>Milliamp</w:t>
      </w:r>
    </w:p>
    <w:p w14:paraId="29B9F7AE" w14:textId="77777777" w:rsidR="0028169D" w:rsidRDefault="0028169D" w:rsidP="00B15783">
      <w:pPr>
        <w:pStyle w:val="ListParagraph"/>
        <w:numPr>
          <w:ilvl w:val="0"/>
          <w:numId w:val="16"/>
        </w:numPr>
        <w:ind w:left="720"/>
        <w:contextualSpacing w:val="0"/>
      </w:pPr>
      <w:r>
        <w:t>mL – Milliliter</w:t>
      </w:r>
    </w:p>
    <w:p w14:paraId="5E5F8AAD" w14:textId="77777777" w:rsidR="0028169D" w:rsidRDefault="0028169D" w:rsidP="00B15783">
      <w:pPr>
        <w:pStyle w:val="ListParagraph"/>
        <w:numPr>
          <w:ilvl w:val="0"/>
          <w:numId w:val="16"/>
        </w:numPr>
        <w:ind w:left="720"/>
        <w:contextualSpacing w:val="0"/>
      </w:pPr>
      <w:r>
        <w:t>Oz – Ounce</w:t>
      </w:r>
    </w:p>
    <w:p w14:paraId="54E1F2F1" w14:textId="77777777" w:rsidR="0028169D" w:rsidRDefault="0028169D" w:rsidP="00B15783">
      <w:pPr>
        <w:pStyle w:val="ListParagraph"/>
        <w:numPr>
          <w:ilvl w:val="0"/>
          <w:numId w:val="16"/>
        </w:numPr>
        <w:ind w:left="720"/>
        <w:contextualSpacing w:val="0"/>
      </w:pPr>
      <w:r>
        <w:t>PSI – Pound per square inch</w:t>
      </w:r>
    </w:p>
    <w:p w14:paraId="7B31DC5E" w14:textId="77777777" w:rsidR="0028169D" w:rsidRDefault="0028169D" w:rsidP="00B15783">
      <w:pPr>
        <w:pStyle w:val="ListParagraph"/>
        <w:numPr>
          <w:ilvl w:val="0"/>
          <w:numId w:val="16"/>
        </w:numPr>
        <w:ind w:left="720"/>
        <w:contextualSpacing w:val="0"/>
      </w:pPr>
      <w:r>
        <w:t>SDS – Software Design Specification</w:t>
      </w:r>
    </w:p>
    <w:p w14:paraId="42DFF3AA" w14:textId="77777777" w:rsidR="0028169D" w:rsidRDefault="0028169D" w:rsidP="00B15783">
      <w:pPr>
        <w:pStyle w:val="ListParagraph"/>
        <w:numPr>
          <w:ilvl w:val="0"/>
          <w:numId w:val="16"/>
        </w:numPr>
        <w:ind w:left="720"/>
        <w:contextualSpacing w:val="0"/>
      </w:pPr>
      <w:r>
        <w:t>SRS – Software Requirements Specification</w:t>
      </w:r>
    </w:p>
    <w:p w14:paraId="2493A1CB" w14:textId="77777777" w:rsidR="0028169D" w:rsidRPr="003C61AA" w:rsidRDefault="0028169D" w:rsidP="00B15783">
      <w:pPr>
        <w:pStyle w:val="ListParagraph"/>
        <w:numPr>
          <w:ilvl w:val="0"/>
          <w:numId w:val="16"/>
        </w:numPr>
        <w:ind w:left="720"/>
        <w:contextualSpacing w:val="0"/>
      </w:pPr>
      <w:r w:rsidRPr="003C61AA">
        <w:t xml:space="preserve">VAC – </w:t>
      </w:r>
      <w:r>
        <w:t>V</w:t>
      </w:r>
      <w:r w:rsidRPr="003C61AA">
        <w:t xml:space="preserve">oltage </w:t>
      </w:r>
      <w:r>
        <w:t>A</w:t>
      </w:r>
      <w:r w:rsidRPr="003C61AA">
        <w:t xml:space="preserve">lternating </w:t>
      </w:r>
      <w:r>
        <w:t>C</w:t>
      </w:r>
      <w:r w:rsidRPr="003C61AA">
        <w:t>urrent.</w:t>
      </w:r>
    </w:p>
    <w:p w14:paraId="4EB2A4D7" w14:textId="77777777" w:rsidR="0028169D" w:rsidRPr="003C61AA" w:rsidRDefault="0028169D" w:rsidP="00B15783">
      <w:pPr>
        <w:pStyle w:val="ListParagraph"/>
        <w:numPr>
          <w:ilvl w:val="0"/>
          <w:numId w:val="16"/>
        </w:numPr>
        <w:ind w:left="720"/>
        <w:contextualSpacing w:val="0"/>
      </w:pPr>
      <w:r w:rsidRPr="003C61AA">
        <w:t xml:space="preserve">VDC – </w:t>
      </w:r>
      <w:r>
        <w:t>V</w:t>
      </w:r>
      <w:r w:rsidRPr="003C61AA">
        <w:t xml:space="preserve">oltage </w:t>
      </w:r>
      <w:r>
        <w:t>D</w:t>
      </w:r>
      <w:r w:rsidRPr="003C61AA">
        <w:t xml:space="preserve">irect </w:t>
      </w:r>
      <w:r>
        <w:t>C</w:t>
      </w:r>
      <w:r w:rsidRPr="003C61AA">
        <w:t>urrent</w:t>
      </w:r>
    </w:p>
    <w:p w14:paraId="366A9982" w14:textId="77777777" w:rsidR="0028169D" w:rsidRPr="003C61AA" w:rsidRDefault="0028169D" w:rsidP="00B15783">
      <w:pPr>
        <w:pStyle w:val="ListParagraph"/>
        <w:numPr>
          <w:ilvl w:val="0"/>
          <w:numId w:val="16"/>
        </w:numPr>
        <w:ind w:left="720"/>
        <w:contextualSpacing w:val="0"/>
      </w:pPr>
      <w:r w:rsidRPr="003C61AA">
        <w:t>UL – Underwriter’s Laboratory</w:t>
      </w:r>
    </w:p>
    <w:p w14:paraId="328FDC0E" w14:textId="77777777" w:rsidR="0028169D" w:rsidRPr="003C61AA" w:rsidRDefault="0028169D" w:rsidP="00B15783">
      <w:pPr>
        <w:pStyle w:val="ListParagraph"/>
        <w:numPr>
          <w:ilvl w:val="0"/>
          <w:numId w:val="16"/>
        </w:numPr>
        <w:ind w:left="720"/>
        <w:contextualSpacing w:val="0"/>
      </w:pPr>
      <w:r w:rsidRPr="003C61AA">
        <w:t>USB – Universal Serial Bus</w:t>
      </w:r>
    </w:p>
    <w:p w14:paraId="53F9D808" w14:textId="77777777" w:rsidR="0028169D" w:rsidRPr="003C61AA" w:rsidRDefault="0028169D" w:rsidP="001C196F">
      <w:pPr>
        <w:pStyle w:val="Heading2"/>
      </w:pPr>
      <w:bookmarkStart w:id="21" w:name="_Toc101158479"/>
      <w:bookmarkStart w:id="22" w:name="_Toc221353048"/>
      <w:bookmarkStart w:id="23" w:name="_Toc6922188"/>
      <w:r w:rsidRPr="003C61AA">
        <w:t>Definitions</w:t>
      </w:r>
      <w:bookmarkEnd w:id="21"/>
      <w:bookmarkEnd w:id="22"/>
      <w:bookmarkEnd w:id="23"/>
    </w:p>
    <w:p w14:paraId="32E187AB" w14:textId="3A29247B" w:rsidR="0028169D" w:rsidRPr="003C61AA" w:rsidRDefault="0028169D" w:rsidP="00B15783">
      <w:pPr>
        <w:pStyle w:val="ListParagraph"/>
        <w:numPr>
          <w:ilvl w:val="0"/>
          <w:numId w:val="16"/>
        </w:numPr>
        <w:ind w:left="720"/>
        <w:contextualSpacing w:val="0"/>
      </w:pPr>
      <w:r w:rsidRPr="003C61AA">
        <w:t>Alarm</w:t>
      </w:r>
      <w:r>
        <w:t xml:space="preserve"> – </w:t>
      </w:r>
      <w:r w:rsidRPr="003C61AA">
        <w:t xml:space="preserve">Audible and visual signal which indicates that an error has occurred with the </w:t>
      </w:r>
      <w:r w:rsidR="00E326D1" w:rsidRPr="003C61AA">
        <w:t>equipment and</w:t>
      </w:r>
      <w:r w:rsidRPr="003C61AA">
        <w:t xml:space="preserve"> will stop the processing.</w:t>
      </w:r>
    </w:p>
    <w:p w14:paraId="5A21EB93" w14:textId="77777777" w:rsidR="0028169D" w:rsidRPr="003C61AA" w:rsidRDefault="0028169D" w:rsidP="00B15783">
      <w:pPr>
        <w:pStyle w:val="ListParagraph"/>
        <w:numPr>
          <w:ilvl w:val="0"/>
          <w:numId w:val="16"/>
        </w:numPr>
        <w:ind w:left="720"/>
        <w:contextualSpacing w:val="0"/>
      </w:pPr>
      <w:r w:rsidRPr="003C61AA">
        <w:t>Warning</w:t>
      </w:r>
      <w:r>
        <w:t xml:space="preserve"> – </w:t>
      </w:r>
      <w:r w:rsidRPr="003C61AA">
        <w:t>Audible and visual signal which indicates that the processing has been paused and requires user intervention to continue.</w:t>
      </w:r>
    </w:p>
    <w:p w14:paraId="6257433D" w14:textId="77777777" w:rsidR="0028169D" w:rsidRPr="00DA2699" w:rsidRDefault="0028169D" w:rsidP="001C196F">
      <w:pPr>
        <w:pStyle w:val="Heading2"/>
      </w:pPr>
      <w:bookmarkStart w:id="24" w:name="_Toc101158480"/>
      <w:bookmarkStart w:id="25" w:name="_Toc221353049"/>
      <w:bookmarkStart w:id="26" w:name="_Toc6922189"/>
      <w:r w:rsidRPr="00DA2699">
        <w:t>Reference Documents</w:t>
      </w:r>
      <w:bookmarkEnd w:id="24"/>
      <w:bookmarkEnd w:id="25"/>
      <w:bookmarkEnd w:id="26"/>
    </w:p>
    <w:p w14:paraId="56064F2E" w14:textId="772F5AF6" w:rsidR="0028169D" w:rsidRPr="00DA2699" w:rsidRDefault="0028169D" w:rsidP="00B15783">
      <w:pPr>
        <w:pStyle w:val="ListParagraph"/>
        <w:numPr>
          <w:ilvl w:val="0"/>
          <w:numId w:val="16"/>
        </w:numPr>
        <w:ind w:left="720"/>
        <w:contextualSpacing w:val="0"/>
      </w:pPr>
      <w:r w:rsidRPr="00DA2699">
        <w:t>IEC 60601-1, Medical Electrical Equipment, General Requirements for Safety</w:t>
      </w:r>
    </w:p>
    <w:p w14:paraId="4B1874EC" w14:textId="20609DBB" w:rsidR="0028169D" w:rsidRPr="00DA2699" w:rsidRDefault="0028169D" w:rsidP="00B15783">
      <w:pPr>
        <w:pStyle w:val="ListParagraph"/>
        <w:numPr>
          <w:ilvl w:val="0"/>
          <w:numId w:val="16"/>
        </w:numPr>
        <w:ind w:left="720"/>
        <w:contextualSpacing w:val="0"/>
      </w:pPr>
      <w:r w:rsidRPr="00DA2699">
        <w:t xml:space="preserve">IEC 60601-1-2, Medical Electrical Equipment, Electromagnetic </w:t>
      </w:r>
      <w:r w:rsidR="00D23B81" w:rsidRPr="00DA2699">
        <w:t>C</w:t>
      </w:r>
      <w:r w:rsidRPr="00DA2699">
        <w:t>ompatibility</w:t>
      </w:r>
    </w:p>
    <w:p w14:paraId="044A5A14" w14:textId="21A2C135" w:rsidR="0028169D" w:rsidRPr="00DA2699" w:rsidRDefault="0028169D" w:rsidP="00B15783">
      <w:pPr>
        <w:pStyle w:val="ListParagraph"/>
        <w:numPr>
          <w:ilvl w:val="0"/>
          <w:numId w:val="16"/>
        </w:numPr>
        <w:ind w:left="720"/>
        <w:contextualSpacing w:val="0"/>
      </w:pPr>
      <w:r w:rsidRPr="00DA2699">
        <w:t xml:space="preserve">IEC 60601-1-4, Medical Electrical Equipment, General Requirements for </w:t>
      </w:r>
      <w:r w:rsidR="00D23B81" w:rsidRPr="00DA2699">
        <w:t>P</w:t>
      </w:r>
      <w:r w:rsidRPr="00DA2699">
        <w:t xml:space="preserve">rogrammable </w:t>
      </w:r>
      <w:r w:rsidR="00D23B81" w:rsidRPr="00DA2699">
        <w:t>E</w:t>
      </w:r>
      <w:r w:rsidRPr="00DA2699">
        <w:t xml:space="preserve">lectrical </w:t>
      </w:r>
      <w:r w:rsidR="00D23B81" w:rsidRPr="00DA2699">
        <w:t>M</w:t>
      </w:r>
      <w:r w:rsidRPr="00DA2699">
        <w:t xml:space="preserve">edical </w:t>
      </w:r>
      <w:r w:rsidR="00D23B81" w:rsidRPr="00DA2699">
        <w:t>S</w:t>
      </w:r>
      <w:r w:rsidRPr="00DA2699">
        <w:t>ystems</w:t>
      </w:r>
    </w:p>
    <w:p w14:paraId="611B85F7" w14:textId="77777777" w:rsidR="008B25DA" w:rsidRPr="003C61AA" w:rsidRDefault="008B25DA" w:rsidP="008B25DA">
      <w:pPr>
        <w:pStyle w:val="Heading2"/>
      </w:pPr>
      <w:bookmarkStart w:id="27" w:name="_Toc221353052"/>
      <w:bookmarkStart w:id="28" w:name="_Toc6922190"/>
      <w:r>
        <w:t xml:space="preserve">Supporting </w:t>
      </w:r>
      <w:bookmarkEnd w:id="27"/>
      <w:r>
        <w:t>Schematics &amp; Specifications</w:t>
      </w:r>
      <w:bookmarkEnd w:id="28"/>
    </w:p>
    <w:p w14:paraId="77EF4951" w14:textId="433D1C8F" w:rsidR="008B25DA" w:rsidRDefault="007A4BDE" w:rsidP="008B25DA">
      <w:pPr>
        <w:pStyle w:val="ListParagraph"/>
        <w:numPr>
          <w:ilvl w:val="1"/>
          <w:numId w:val="32"/>
        </w:numPr>
        <w:spacing w:after="120"/>
      </w:pPr>
      <w:r>
        <w:t xml:space="preserve">THQ </w:t>
      </w:r>
      <w:r w:rsidR="008B25DA">
        <w:t>Software Design Specification (SDS)</w:t>
      </w:r>
    </w:p>
    <w:p w14:paraId="31DC9A8B" w14:textId="24FE1A21" w:rsidR="008B25DA" w:rsidRDefault="007A4BDE" w:rsidP="008B25DA">
      <w:pPr>
        <w:pStyle w:val="ListParagraph"/>
        <w:numPr>
          <w:ilvl w:val="1"/>
          <w:numId w:val="32"/>
        </w:numPr>
        <w:spacing w:after="120"/>
      </w:pPr>
      <w:r>
        <w:t xml:space="preserve">THQ </w:t>
      </w:r>
      <w:r w:rsidR="008B25DA">
        <w:t>Software Requirements Specification (SRS)</w:t>
      </w:r>
    </w:p>
    <w:p w14:paraId="7721928C" w14:textId="1A153F68" w:rsidR="008B25DA" w:rsidRDefault="007A4BDE" w:rsidP="008B25DA">
      <w:pPr>
        <w:pStyle w:val="ListParagraph"/>
        <w:numPr>
          <w:ilvl w:val="1"/>
          <w:numId w:val="32"/>
        </w:numPr>
        <w:spacing w:after="120"/>
      </w:pPr>
      <w:r>
        <w:t xml:space="preserve">THQ </w:t>
      </w:r>
      <w:r w:rsidR="00CB23B2">
        <w:t>Hydraulic</w:t>
      </w:r>
      <w:r w:rsidR="008B25DA">
        <w:t xml:space="preserve"> Schematic</w:t>
      </w:r>
    </w:p>
    <w:p w14:paraId="5DFFECB5" w14:textId="1D1A024F" w:rsidR="008B25DA" w:rsidRDefault="008B25DA" w:rsidP="008B25DA">
      <w:pPr>
        <w:pStyle w:val="ListParagraph"/>
        <w:numPr>
          <w:ilvl w:val="1"/>
          <w:numId w:val="32"/>
        </w:numPr>
        <w:spacing w:after="120"/>
      </w:pPr>
      <w:r>
        <w:t>8</w:t>
      </w:r>
      <w:r w:rsidR="00CB23B2">
        <w:t>7</w:t>
      </w:r>
      <w:r>
        <w:t xml:space="preserve">-1022 </w:t>
      </w:r>
      <w:r w:rsidR="007A4BDE">
        <w:t xml:space="preserve">THQ </w:t>
      </w:r>
      <w:r>
        <w:t>Electronic Block Diagram</w:t>
      </w:r>
    </w:p>
    <w:p w14:paraId="2DFEB47B" w14:textId="6CA81C7F" w:rsidR="0028169D" w:rsidRDefault="00207043" w:rsidP="0028169D">
      <w:pPr>
        <w:pStyle w:val="Heading1"/>
      </w:pPr>
      <w:bookmarkStart w:id="29" w:name="_Toc101158481"/>
      <w:bookmarkStart w:id="30" w:name="_Toc221353050"/>
      <w:bookmarkStart w:id="31" w:name="_Toc6922191"/>
      <w:r w:rsidRPr="003C61AA">
        <w:lastRenderedPageBreak/>
        <w:t>System Elements</w:t>
      </w:r>
      <w:bookmarkEnd w:id="29"/>
      <w:bookmarkEnd w:id="30"/>
      <w:bookmarkEnd w:id="31"/>
    </w:p>
    <w:p w14:paraId="085A2D00" w14:textId="5EFD1D47" w:rsidR="00776FEF" w:rsidRDefault="00776FEF" w:rsidP="00776FEF">
      <w:pPr>
        <w:pStyle w:val="Heading2"/>
      </w:pPr>
      <w:bookmarkStart w:id="32" w:name="_Toc6922192"/>
      <w:r>
        <w:t>Conditioning Unit</w:t>
      </w:r>
      <w:bookmarkEnd w:id="32"/>
    </w:p>
    <w:p w14:paraId="2F591C96" w14:textId="3E3D4CC6" w:rsidR="00DF171E" w:rsidRPr="00FA17C3" w:rsidRDefault="00CB23B2" w:rsidP="00FA17C3">
      <w:r>
        <w:rPr>
          <w:noProof/>
        </w:rPr>
        <w:drawing>
          <wp:inline distT="0" distB="0" distL="0" distR="0" wp14:anchorId="4152F526" wp14:editId="6B050D3A">
            <wp:extent cx="5915025" cy="3145155"/>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srcRect r="481"/>
                    <a:stretch/>
                  </pic:blipFill>
                  <pic:spPr bwMode="auto">
                    <a:xfrm>
                      <a:off x="0" y="0"/>
                      <a:ext cx="5915025" cy="3145155"/>
                    </a:xfrm>
                    <a:prstGeom prst="rect">
                      <a:avLst/>
                    </a:prstGeom>
                    <a:ln>
                      <a:noFill/>
                    </a:ln>
                    <a:extLst>
                      <a:ext uri="{53640926-AAD7-44D8-BBD7-CCE9431645EC}">
                        <a14:shadowObscured xmlns:a14="http://schemas.microsoft.com/office/drawing/2010/main"/>
                      </a:ext>
                    </a:extLst>
                  </pic:spPr>
                </pic:pic>
              </a:graphicData>
            </a:graphic>
          </wp:inline>
        </w:drawing>
      </w:r>
    </w:p>
    <w:p w14:paraId="3C749176" w14:textId="2DB52704" w:rsidR="00DF171E" w:rsidRPr="00FA17C3" w:rsidRDefault="00DF171E" w:rsidP="00FA17C3"/>
    <w:p w14:paraId="27348110" w14:textId="02B69ECD" w:rsidR="0014058F" w:rsidRDefault="0097616D" w:rsidP="0014058F">
      <w:r>
        <w:t xml:space="preserve">The schematic </w:t>
      </w:r>
      <w:r w:rsidR="00DF171E">
        <w:t xml:space="preserve">above </w:t>
      </w:r>
      <w:r>
        <w:t xml:space="preserve">outlines the key hydraulic, refrigeration and mechanical components comprising </w:t>
      </w:r>
      <w:r w:rsidR="00776FEF">
        <w:t xml:space="preserve">the </w:t>
      </w:r>
      <w:r w:rsidR="007A4BDE">
        <w:t xml:space="preserve">THQ </w:t>
      </w:r>
      <w:r w:rsidR="006B0606">
        <w:t>system</w:t>
      </w:r>
      <w:r w:rsidR="00776FEF">
        <w:t xml:space="preserve"> conditioning unit</w:t>
      </w:r>
      <w:r w:rsidR="00DF171E">
        <w:t>,</w:t>
      </w:r>
      <w:r w:rsidR="00CE66C2">
        <w:t xml:space="preserve"> which are</w:t>
      </w:r>
      <w:r w:rsidR="00DF171E">
        <w:t xml:space="preserve"> described below</w:t>
      </w:r>
      <w:r>
        <w:t>:</w:t>
      </w:r>
    </w:p>
    <w:p w14:paraId="6FC3304E" w14:textId="6525EDC7" w:rsidR="00FE102A" w:rsidRPr="0022345C" w:rsidRDefault="00FE102A" w:rsidP="00DF171E">
      <w:pPr>
        <w:pStyle w:val="Heading3"/>
      </w:pPr>
      <w:r w:rsidRPr="0022345C">
        <w:t>External housings</w:t>
      </w:r>
      <w:r w:rsidR="0057023E" w:rsidRPr="0022345C">
        <w:t xml:space="preserve">– </w:t>
      </w:r>
      <w:r w:rsidR="00F337CD">
        <w:t xml:space="preserve">molded </w:t>
      </w:r>
      <w:r w:rsidRPr="0022345C">
        <w:t>thermoplastic</w:t>
      </w:r>
    </w:p>
    <w:p w14:paraId="1B3D6684" w14:textId="3D3F8A59" w:rsidR="0028169D" w:rsidRPr="0022345C" w:rsidRDefault="0028169D" w:rsidP="00265CDF">
      <w:pPr>
        <w:pStyle w:val="Heading3"/>
      </w:pPr>
      <w:r w:rsidRPr="0022345C">
        <w:t>Master ON/OFF</w:t>
      </w:r>
      <w:bookmarkStart w:id="33" w:name="_Hlk510613548"/>
      <w:r w:rsidRPr="0022345C">
        <w:t xml:space="preserve"> </w:t>
      </w:r>
      <w:r w:rsidR="00586CDA" w:rsidRPr="0022345C">
        <w:t>(</w:t>
      </w:r>
      <w:r w:rsidR="00265CDF" w:rsidRPr="00265CDF">
        <w:t>C1300ALBB-602AW-B or equiv</w:t>
      </w:r>
      <w:r w:rsidR="00265CDF">
        <w:t>alent</w:t>
      </w:r>
      <w:r w:rsidR="00586CDA" w:rsidRPr="0022345C">
        <w:t>)</w:t>
      </w:r>
      <w:r w:rsidR="00FE102A" w:rsidRPr="0022345C">
        <w:t xml:space="preserve"> – </w:t>
      </w:r>
      <w:r w:rsidR="000A35E2" w:rsidRPr="0022345C">
        <w:t>p</w:t>
      </w:r>
      <w:r w:rsidRPr="0022345C">
        <w:t xml:space="preserve">hysical </w:t>
      </w:r>
      <w:r w:rsidR="004224BC" w:rsidRPr="0022345C">
        <w:t xml:space="preserve">power </w:t>
      </w:r>
      <w:r w:rsidRPr="0022345C">
        <w:t>switch</w:t>
      </w:r>
      <w:bookmarkEnd w:id="33"/>
    </w:p>
    <w:p w14:paraId="0A7900F3" w14:textId="279342F6" w:rsidR="00045A84" w:rsidRPr="0022345C" w:rsidRDefault="00045A84" w:rsidP="00F337CD">
      <w:pPr>
        <w:pStyle w:val="Heading3"/>
      </w:pPr>
      <w:r w:rsidRPr="0022345C">
        <w:t>Power entry module (Molex P/N 39-28-1103 or equivalent) – inlet for external power supply</w:t>
      </w:r>
      <w:r>
        <w:t xml:space="preserve"> plug</w:t>
      </w:r>
    </w:p>
    <w:p w14:paraId="5965F4EA" w14:textId="08ABB2A7" w:rsidR="006451D2" w:rsidRPr="005A5021" w:rsidRDefault="00BC1A91" w:rsidP="00CE4105">
      <w:pPr>
        <w:pStyle w:val="Heading3"/>
      </w:pPr>
      <w:r w:rsidRPr="005A5021">
        <w:t>TFT</w:t>
      </w:r>
      <w:r w:rsidR="006451D2" w:rsidRPr="005A5021">
        <w:t xml:space="preserve"> display</w:t>
      </w:r>
      <w:r w:rsidR="00F337CD">
        <w:t xml:space="preserve"> </w:t>
      </w:r>
      <w:r w:rsidR="006451D2" w:rsidRPr="005A5021">
        <w:t>–</w:t>
      </w:r>
      <w:r w:rsidRPr="005A5021">
        <w:t xml:space="preserve"> </w:t>
      </w:r>
      <w:r w:rsidR="00C258E8" w:rsidRPr="005A5021">
        <w:t>t</w:t>
      </w:r>
      <w:r w:rsidR="006451D2" w:rsidRPr="005A5021">
        <w:t xml:space="preserve">ouchscreen </w:t>
      </w:r>
      <w:r w:rsidR="00CE4105" w:rsidRPr="005A5021">
        <w:t xml:space="preserve">for </w:t>
      </w:r>
      <w:r w:rsidR="006451D2" w:rsidRPr="005A5021">
        <w:t>GUI</w:t>
      </w:r>
      <w:r w:rsidR="00F337CD">
        <w:t>, not in use for P1 systems</w:t>
      </w:r>
    </w:p>
    <w:p w14:paraId="25664A8E" w14:textId="2E4D6387" w:rsidR="006451D2" w:rsidRPr="0022345C" w:rsidRDefault="004D3A83" w:rsidP="00DF171E">
      <w:pPr>
        <w:pStyle w:val="Heading3"/>
      </w:pPr>
      <w:r w:rsidRPr="0022345C">
        <w:t>C</w:t>
      </w:r>
      <w:r w:rsidR="006451D2" w:rsidRPr="0022345C">
        <w:t>ontrol</w:t>
      </w:r>
      <w:r w:rsidRPr="0022345C">
        <w:t xml:space="preserve">ler board – microcontroller </w:t>
      </w:r>
      <w:r w:rsidR="006048BA" w:rsidRPr="0022345C">
        <w:t>for integration, control, and monitoring of system</w:t>
      </w:r>
      <w:r w:rsidR="00E51FB5" w:rsidRPr="0022345C">
        <w:t xml:space="preserve"> and components</w:t>
      </w:r>
    </w:p>
    <w:p w14:paraId="067E2906" w14:textId="7760CACF" w:rsidR="00C517F1" w:rsidRPr="00C517F1" w:rsidRDefault="0043719C" w:rsidP="00C517F1">
      <w:pPr>
        <w:pStyle w:val="Heading3"/>
      </w:pPr>
      <w:r w:rsidRPr="0022345C">
        <w:t>Liquid chiller module</w:t>
      </w:r>
      <w:bookmarkStart w:id="34" w:name="_Hlk510176282"/>
      <w:r w:rsidR="00AD132C">
        <w:t>, “LCM”</w:t>
      </w:r>
      <w:r w:rsidR="0028169D" w:rsidRPr="0022345C">
        <w:t xml:space="preserve"> (</w:t>
      </w:r>
      <w:r w:rsidR="004224BC" w:rsidRPr="0022345C">
        <w:t xml:space="preserve">Aspen P/N </w:t>
      </w:r>
      <w:r w:rsidR="006A49F7" w:rsidRPr="0022345C">
        <w:t>FP00</w:t>
      </w:r>
      <w:r w:rsidR="00C517F1">
        <w:t>116</w:t>
      </w:r>
      <w:r w:rsidR="006A49F7" w:rsidRPr="0022345C">
        <w:t xml:space="preserve"> </w:t>
      </w:r>
      <w:r w:rsidR="004224BC" w:rsidRPr="0022345C">
        <w:t>or equivalent</w:t>
      </w:r>
      <w:r w:rsidR="0028169D" w:rsidRPr="0022345C">
        <w:t xml:space="preserve">) </w:t>
      </w:r>
      <w:bookmarkEnd w:id="34"/>
      <w:r w:rsidR="0028169D" w:rsidRPr="0022345C">
        <w:t>–</w:t>
      </w:r>
      <w:r w:rsidR="006A49F7" w:rsidRPr="0022345C">
        <w:t xml:space="preserve"> 24VDC </w:t>
      </w:r>
      <w:r w:rsidRPr="0022345C">
        <w:t xml:space="preserve">thermoelectric </w:t>
      </w:r>
      <w:r w:rsidR="004A6AFF" w:rsidRPr="0022345C">
        <w:t xml:space="preserve">refrigeration </w:t>
      </w:r>
      <w:r w:rsidR="00923A54" w:rsidRPr="0022345C">
        <w:t>system</w:t>
      </w:r>
    </w:p>
    <w:p w14:paraId="657AB44F" w14:textId="0AA2C002" w:rsidR="00C517F1" w:rsidRDefault="00C517F1" w:rsidP="00DF171E">
      <w:pPr>
        <w:pStyle w:val="Heading3"/>
      </w:pPr>
      <w:r>
        <w:t xml:space="preserve">Liquid heating module, powered by </w:t>
      </w:r>
      <w:r w:rsidRPr="00C517F1">
        <w:t>TGHDX1R00JE</w:t>
      </w:r>
      <w:r>
        <w:t xml:space="preserve"> resistive heaters</w:t>
      </w:r>
    </w:p>
    <w:p w14:paraId="7FF3E503" w14:textId="66967AF4" w:rsidR="0028169D" w:rsidRPr="0022345C" w:rsidRDefault="00952DD8" w:rsidP="00DF171E">
      <w:pPr>
        <w:pStyle w:val="Heading3"/>
      </w:pPr>
      <w:r w:rsidRPr="0022345C">
        <w:t>Coolant r</w:t>
      </w:r>
      <w:r w:rsidR="0028169D" w:rsidRPr="0022345C">
        <w:t>eservoir</w:t>
      </w:r>
      <w:r w:rsidR="00C517F1">
        <w:t>s</w:t>
      </w:r>
      <w:r w:rsidR="009559D1">
        <w:t xml:space="preserve"> </w:t>
      </w:r>
      <w:r w:rsidR="0028169D" w:rsidRPr="0022345C">
        <w:t xml:space="preserve">– </w:t>
      </w:r>
      <w:r w:rsidR="00C517F1">
        <w:t>10oz</w:t>
      </w:r>
      <w:r w:rsidR="000E2637" w:rsidRPr="0022345C">
        <w:t xml:space="preserve"> </w:t>
      </w:r>
      <w:r w:rsidR="0028169D" w:rsidRPr="0022345C">
        <w:t>plastic bottle</w:t>
      </w:r>
      <w:r w:rsidR="00FD284D" w:rsidRPr="0022345C">
        <w:t xml:space="preserve"> in HDPE or equivalent </w:t>
      </w:r>
      <w:r w:rsidR="0028169D" w:rsidRPr="0022345C">
        <w:t xml:space="preserve">FDA-approved </w:t>
      </w:r>
      <w:r w:rsidR="00FD284D" w:rsidRPr="0022345C">
        <w:t>thermoplastic</w:t>
      </w:r>
    </w:p>
    <w:p w14:paraId="75ABC3C1" w14:textId="0F3EB4CD" w:rsidR="00A756E6" w:rsidRPr="0022345C" w:rsidRDefault="00FA0DDD" w:rsidP="00DF171E">
      <w:pPr>
        <w:pStyle w:val="Heading3"/>
      </w:pPr>
      <w:r w:rsidRPr="0022345C">
        <w:t>L</w:t>
      </w:r>
      <w:r w:rsidR="00A756E6" w:rsidRPr="0022345C">
        <w:t>evel sensor (</w:t>
      </w:r>
      <w:proofErr w:type="spellStart"/>
      <w:r w:rsidRPr="0022345C">
        <w:t>Optomax</w:t>
      </w:r>
      <w:proofErr w:type="spellEnd"/>
      <w:r w:rsidRPr="0022345C">
        <w:t xml:space="preserve"> LLC200D3SH-LLPK1 or equivalent</w:t>
      </w:r>
      <w:r w:rsidR="00A756E6" w:rsidRPr="0022345C">
        <w:t xml:space="preserve">) – </w:t>
      </w:r>
      <w:r w:rsidRPr="0022345C">
        <w:t xml:space="preserve">liquid level sensor for </w:t>
      </w:r>
      <w:r w:rsidR="00990753" w:rsidRPr="0022345C">
        <w:t xml:space="preserve">coolant level </w:t>
      </w:r>
      <w:r w:rsidRPr="0022345C">
        <w:t xml:space="preserve">monitoring </w:t>
      </w:r>
      <w:r w:rsidR="00990753" w:rsidRPr="0022345C">
        <w:t>and alert</w:t>
      </w:r>
      <w:r w:rsidR="00C517F1">
        <w:t>s – not in the P1 systems</w:t>
      </w:r>
    </w:p>
    <w:p w14:paraId="51ECC85A" w14:textId="15CD696C" w:rsidR="0028169D" w:rsidRPr="0022345C" w:rsidRDefault="0028169D" w:rsidP="00DF171E">
      <w:pPr>
        <w:pStyle w:val="Heading3"/>
      </w:pPr>
      <w:r w:rsidRPr="0022345C">
        <w:t xml:space="preserve">Liquid </w:t>
      </w:r>
      <w:r w:rsidR="00AA4FE0" w:rsidRPr="0022345C">
        <w:t>p</w:t>
      </w:r>
      <w:r w:rsidRPr="0022345C">
        <w:t>ump</w:t>
      </w:r>
      <w:r w:rsidR="00586CDA" w:rsidRPr="0022345C">
        <w:t xml:space="preserve"> </w:t>
      </w:r>
      <w:r w:rsidRPr="0022345C">
        <w:t>–</w:t>
      </w:r>
      <w:r w:rsidR="00AA4FE0" w:rsidRPr="0022345C">
        <w:t>l</w:t>
      </w:r>
      <w:r w:rsidRPr="0022345C">
        <w:t xml:space="preserve">iquid </w:t>
      </w:r>
      <w:r w:rsidR="00AA4FE0" w:rsidRPr="0022345C">
        <w:t>p</w:t>
      </w:r>
      <w:r w:rsidRPr="0022345C">
        <w:t>ump</w:t>
      </w:r>
      <w:r w:rsidR="006451D2" w:rsidRPr="0022345C">
        <w:t xml:space="preserve"> for coolant circulation</w:t>
      </w:r>
    </w:p>
    <w:p w14:paraId="3743FCBA" w14:textId="225DCD8E" w:rsidR="0028169D" w:rsidRDefault="00586CDA" w:rsidP="00D42B98">
      <w:pPr>
        <w:pStyle w:val="Heading3"/>
      </w:pPr>
      <w:r w:rsidRPr="0022345C">
        <w:lastRenderedPageBreak/>
        <w:t>Bypass valve</w:t>
      </w:r>
      <w:r w:rsidR="00C517F1">
        <w:t>s</w:t>
      </w:r>
      <w:r w:rsidRPr="0022345C">
        <w:t xml:space="preserve"> (</w:t>
      </w:r>
      <w:r w:rsidR="00D42B98" w:rsidRPr="00D42B98">
        <w:t>RSC-A2-24VDC</w:t>
      </w:r>
      <w:r w:rsidR="00D42B98">
        <w:t xml:space="preserve"> or equivalent</w:t>
      </w:r>
      <w:r w:rsidRPr="0022345C">
        <w:t xml:space="preserve">) </w:t>
      </w:r>
      <w:r w:rsidR="0028169D" w:rsidRPr="0022345C">
        <w:t xml:space="preserve">– </w:t>
      </w:r>
      <w:r w:rsidR="00990753" w:rsidRPr="0022345C">
        <w:t xml:space="preserve">normally-closed valve (solenoid pinch </w:t>
      </w:r>
      <w:r w:rsidR="00AE185A" w:rsidRPr="0022345C">
        <w:t>or ball</w:t>
      </w:r>
      <w:r w:rsidR="00990753" w:rsidRPr="0022345C">
        <w:t xml:space="preserve"> type valve) </w:t>
      </w:r>
      <w:r w:rsidR="0028169D" w:rsidRPr="0022345C">
        <w:t xml:space="preserve">for flow control </w:t>
      </w:r>
      <w:r w:rsidR="00C517F1">
        <w:t>of hot and cold loops during</w:t>
      </w:r>
      <w:r w:rsidR="0028169D" w:rsidRPr="0022345C">
        <w:t xml:space="preserve"> operation</w:t>
      </w:r>
    </w:p>
    <w:p w14:paraId="03A38261" w14:textId="61F72B12" w:rsidR="00C517F1" w:rsidRPr="00C517F1" w:rsidRDefault="006B0606" w:rsidP="00C517F1">
      <w:pPr>
        <w:pStyle w:val="Heading3"/>
      </w:pPr>
      <w:r>
        <w:t>3-way solenoid</w:t>
      </w:r>
      <w:r w:rsidR="00C517F1" w:rsidRPr="0022345C">
        <w:t xml:space="preserve"> valve</w:t>
      </w:r>
      <w:r w:rsidR="00C517F1">
        <w:t>s</w:t>
      </w:r>
      <w:r w:rsidR="00C517F1" w:rsidRPr="0022345C">
        <w:t xml:space="preserve"> – </w:t>
      </w:r>
      <w:r>
        <w:t>electronically controlled valve selects between hot and cold flow during operation</w:t>
      </w:r>
    </w:p>
    <w:p w14:paraId="46433B25" w14:textId="0052CD58" w:rsidR="0028169D" w:rsidRDefault="0028169D" w:rsidP="00D42B98">
      <w:pPr>
        <w:pStyle w:val="Heading3"/>
      </w:pPr>
      <w:r w:rsidRPr="0022345C">
        <w:t>Liquid flow switch</w:t>
      </w:r>
      <w:r w:rsidR="00066720" w:rsidRPr="0022345C">
        <w:t xml:space="preserve"> (</w:t>
      </w:r>
      <w:r w:rsidR="00D42B98">
        <w:t xml:space="preserve">GEMS </w:t>
      </w:r>
      <w:r w:rsidR="00D42B98" w:rsidRPr="00D42B98">
        <w:t>FS-380P 216446</w:t>
      </w:r>
      <w:r w:rsidR="00D42B98">
        <w:t xml:space="preserve"> </w:t>
      </w:r>
      <w:r w:rsidR="00017F55" w:rsidRPr="0022345C">
        <w:t>or equivalent</w:t>
      </w:r>
      <w:r w:rsidR="00066720" w:rsidRPr="0022345C">
        <w:t xml:space="preserve">) </w:t>
      </w:r>
      <w:r w:rsidRPr="0022345C">
        <w:t xml:space="preserve">– sensor for </w:t>
      </w:r>
      <w:r w:rsidR="00066720" w:rsidRPr="0022345C">
        <w:t>monitoring c</w:t>
      </w:r>
      <w:r w:rsidRPr="0022345C">
        <w:t>oolant flow</w:t>
      </w:r>
      <w:r w:rsidR="006B0606">
        <w:t xml:space="preserve"> – not in use for P1 systems</w:t>
      </w:r>
    </w:p>
    <w:p w14:paraId="25ADF41E" w14:textId="79446AEC" w:rsidR="006B0606" w:rsidRDefault="006B0606" w:rsidP="006B0606">
      <w:pPr>
        <w:pStyle w:val="Heading3"/>
      </w:pPr>
      <w:r>
        <w:t xml:space="preserve">Reservoir temperature sensors (TDK </w:t>
      </w:r>
      <w:r w:rsidRPr="006B0606">
        <w:t>B57020M2</w:t>
      </w:r>
      <w:r>
        <w:t xml:space="preserve"> or equivalent) – thermistors to monitor the hot and cold reservoir temperatures</w:t>
      </w:r>
    </w:p>
    <w:p w14:paraId="242F21DB" w14:textId="619B80ED" w:rsidR="006B0606" w:rsidRPr="006B0606" w:rsidRDefault="006B0606" w:rsidP="006B0606">
      <w:pPr>
        <w:pStyle w:val="Heading3"/>
      </w:pPr>
      <w:r>
        <w:t>In-line t</w:t>
      </w:r>
      <w:r w:rsidR="0028169D" w:rsidRPr="00303944">
        <w:t>emperature sensor</w:t>
      </w:r>
      <w:r w:rsidR="00066720" w:rsidRPr="00303944">
        <w:t>s</w:t>
      </w:r>
      <w:r w:rsidR="0028169D" w:rsidRPr="00303944">
        <w:t>–thermistor</w:t>
      </w:r>
      <w:r w:rsidR="00066720" w:rsidRPr="00303944">
        <w:t>s</w:t>
      </w:r>
      <w:r w:rsidR="0028169D" w:rsidRPr="00303944">
        <w:t xml:space="preserve"> </w:t>
      </w:r>
      <w:r w:rsidR="00C46562" w:rsidRPr="00303944">
        <w:t xml:space="preserve">to </w:t>
      </w:r>
      <w:r w:rsidR="00066720" w:rsidRPr="00303944">
        <w:t xml:space="preserve">monitor </w:t>
      </w:r>
      <w:r>
        <w:t>the outlet and inlet</w:t>
      </w:r>
      <w:r w:rsidR="0028169D" w:rsidRPr="00303944">
        <w:t xml:space="preserve"> temperature</w:t>
      </w:r>
      <w:r w:rsidR="00066720" w:rsidRPr="00303944">
        <w:t xml:space="preserve"> </w:t>
      </w:r>
      <w:r w:rsidR="00C46562" w:rsidRPr="00303944">
        <w:t>for system control and safety</w:t>
      </w:r>
    </w:p>
    <w:p w14:paraId="42A03D73" w14:textId="308EBB13" w:rsidR="00C05B5E" w:rsidRPr="0022345C" w:rsidRDefault="00C05B5E" w:rsidP="00DF171E">
      <w:pPr>
        <w:pStyle w:val="Heading3"/>
      </w:pPr>
      <w:r w:rsidRPr="0022345C">
        <w:t>Umbilical connector</w:t>
      </w:r>
      <w:r w:rsidR="009559D1">
        <w:t xml:space="preserve"> </w:t>
      </w:r>
      <w:r w:rsidRPr="0022345C">
        <w:t xml:space="preserve">– </w:t>
      </w:r>
      <w:r w:rsidR="00B2186D" w:rsidRPr="0022345C">
        <w:t xml:space="preserve">valved, </w:t>
      </w:r>
      <w:r w:rsidR="006541F2" w:rsidRPr="0022345C">
        <w:t xml:space="preserve">quick-release </w:t>
      </w:r>
      <w:r w:rsidR="00B2186D" w:rsidRPr="0022345C">
        <w:t>plug</w:t>
      </w:r>
      <w:r w:rsidR="001457B9" w:rsidRPr="0022345C">
        <w:t>s</w:t>
      </w:r>
      <w:r w:rsidR="008E572E" w:rsidRPr="0022345C">
        <w:t xml:space="preserve"> </w:t>
      </w:r>
      <w:r w:rsidR="005A53B3" w:rsidRPr="0022345C">
        <w:t>for</w:t>
      </w:r>
      <w:r w:rsidR="008E572E" w:rsidRPr="0022345C">
        <w:t xml:space="preserve"> connection to umbilical</w:t>
      </w:r>
    </w:p>
    <w:p w14:paraId="797E564D" w14:textId="77777777" w:rsidR="00112A40" w:rsidRDefault="00112A40" w:rsidP="00112A40">
      <w:pPr>
        <w:pStyle w:val="Heading2"/>
      </w:pPr>
      <w:bookmarkStart w:id="35" w:name="_Toc6922193"/>
      <w:r>
        <w:t>Umbilical</w:t>
      </w:r>
      <w:bookmarkEnd w:id="35"/>
    </w:p>
    <w:p w14:paraId="7EC1C40D" w14:textId="77777777" w:rsidR="00112A40" w:rsidRDefault="00112A40" w:rsidP="00112A40">
      <w:pPr>
        <w:pStyle w:val="Heading3"/>
      </w:pPr>
      <w:r>
        <w:t>The umbilical is an i</w:t>
      </w:r>
      <w:r w:rsidRPr="00014E43">
        <w:t xml:space="preserve">nsulated </w:t>
      </w:r>
      <w:r>
        <w:t xml:space="preserve">dual-line </w:t>
      </w:r>
      <w:r w:rsidRPr="00014E43">
        <w:t>tub</w:t>
      </w:r>
      <w:r>
        <w:t>e</w:t>
      </w:r>
      <w:r w:rsidRPr="00014E43">
        <w:t xml:space="preserve"> </w:t>
      </w:r>
      <w:r>
        <w:t xml:space="preserve">that connects and enables coolant circulation between conditioning unit and </w:t>
      </w:r>
      <w:r w:rsidRPr="00014E43">
        <w:t xml:space="preserve">patient-contacting </w:t>
      </w:r>
      <w:r>
        <w:t>cooling pad</w:t>
      </w:r>
    </w:p>
    <w:p w14:paraId="6A8B1F21" w14:textId="5F954C85" w:rsidR="00112A40" w:rsidRDefault="00112A40" w:rsidP="00112A40">
      <w:pPr>
        <w:pStyle w:val="Heading3"/>
      </w:pPr>
      <w:r>
        <w:t>The umbilical connects to the system via valved, quick-release sockets</w:t>
      </w:r>
    </w:p>
    <w:p w14:paraId="7D0875C7" w14:textId="6162EB27" w:rsidR="00DF171E" w:rsidRDefault="006B0606" w:rsidP="00DF171E">
      <w:pPr>
        <w:pStyle w:val="Heading2"/>
      </w:pPr>
      <w:bookmarkStart w:id="36" w:name="_Toc6922194"/>
      <w:r>
        <w:t>Liquid Circulating</w:t>
      </w:r>
      <w:r w:rsidR="00245DA4">
        <w:t xml:space="preserve"> pad</w:t>
      </w:r>
      <w:bookmarkEnd w:id="36"/>
    </w:p>
    <w:p w14:paraId="0E6E65E8" w14:textId="7697D059" w:rsidR="00245DA4" w:rsidRDefault="00272705" w:rsidP="002214D7">
      <w:pPr>
        <w:pStyle w:val="Heading3"/>
      </w:pPr>
      <w:r>
        <w:t xml:space="preserve">The </w:t>
      </w:r>
      <w:r w:rsidR="006B0606">
        <w:t>liquid circulating</w:t>
      </w:r>
      <w:r>
        <w:t xml:space="preserve"> pad is a p</w:t>
      </w:r>
      <w:r w:rsidR="00245DA4">
        <w:t>atient-contacting heat exchanger that facilitates conductive heat transfer between patient and circulating coolant</w:t>
      </w:r>
    </w:p>
    <w:p w14:paraId="5C6E5629" w14:textId="4601CF96" w:rsidR="005660A7" w:rsidRDefault="005C6D80" w:rsidP="00DF171E">
      <w:pPr>
        <w:pStyle w:val="Heading3"/>
      </w:pPr>
      <w:r>
        <w:t xml:space="preserve">The cooling pad </w:t>
      </w:r>
      <w:r w:rsidR="005B50B4">
        <w:t xml:space="preserve">may be </w:t>
      </w:r>
      <w:r w:rsidR="005660A7">
        <w:t>available in multiple configurations, including</w:t>
      </w:r>
      <w:r w:rsidR="005B50B4">
        <w:t>,</w:t>
      </w:r>
      <w:r w:rsidR="005660A7">
        <w:t xml:space="preserve"> without limitation: </w:t>
      </w:r>
      <w:r w:rsidR="006B0606">
        <w:t>skull cap, front and rear of head, limb wraps</w:t>
      </w:r>
    </w:p>
    <w:p w14:paraId="7FB5C6ED" w14:textId="5F9BE3B9" w:rsidR="00C27F60" w:rsidRDefault="009B6C42" w:rsidP="00C27F60">
      <w:pPr>
        <w:pStyle w:val="Heading2"/>
      </w:pPr>
      <w:bookmarkStart w:id="37" w:name="_Toc6922195"/>
      <w:bookmarkStart w:id="38" w:name="_Toc101158483"/>
      <w:r>
        <w:t xml:space="preserve">Power </w:t>
      </w:r>
      <w:r w:rsidR="00C27F60">
        <w:t>S</w:t>
      </w:r>
      <w:r>
        <w:t>upply</w:t>
      </w:r>
      <w:bookmarkEnd w:id="37"/>
    </w:p>
    <w:p w14:paraId="18DA1754" w14:textId="603ADD06" w:rsidR="009B6C42" w:rsidRDefault="00C27F60" w:rsidP="00FA17C3">
      <w:pPr>
        <w:pStyle w:val="Heading3"/>
      </w:pPr>
      <w:r>
        <w:t xml:space="preserve">The </w:t>
      </w:r>
      <w:r w:rsidR="007A4BDE">
        <w:t xml:space="preserve">THQ </w:t>
      </w:r>
      <w:r w:rsidR="007C4DE1">
        <w:t>system</w:t>
      </w:r>
      <w:r>
        <w:t xml:space="preserve"> is powered by </w:t>
      </w:r>
      <w:r w:rsidR="00F2061E">
        <w:t xml:space="preserve">an external 300W medical grade, class II power supply with 24VDC output </w:t>
      </w:r>
      <w:r w:rsidR="009B6C42">
        <w:t>(TDK Lambda P/N DTM300PW-240D2 or equivalent)</w:t>
      </w:r>
    </w:p>
    <w:p w14:paraId="158A0CD7" w14:textId="289D0668" w:rsidR="0028169D" w:rsidRDefault="00F2061E" w:rsidP="007C4DE1">
      <w:pPr>
        <w:pStyle w:val="Heading3"/>
      </w:pPr>
      <w:r>
        <w:t xml:space="preserve">The </w:t>
      </w:r>
      <w:r w:rsidR="007A4BDE">
        <w:t xml:space="preserve">THQ </w:t>
      </w:r>
      <w:r w:rsidR="007C4DE1">
        <w:t>system</w:t>
      </w:r>
      <w:r>
        <w:t xml:space="preserve"> may also run </w:t>
      </w:r>
      <w:r w:rsidR="002670F0">
        <w:t>off</w:t>
      </w:r>
      <w:r>
        <w:t xml:space="preserve"> an </w:t>
      </w:r>
      <w:r w:rsidR="007C4DE1">
        <w:t xml:space="preserve">internal or </w:t>
      </w:r>
      <w:r>
        <w:t>e</w:t>
      </w:r>
      <w:r w:rsidR="009B6C42">
        <w:t>xternal</w:t>
      </w:r>
      <w:r>
        <w:t xml:space="preserve"> rechargeable</w:t>
      </w:r>
      <w:r w:rsidR="009B6C42">
        <w:t xml:space="preserve"> battery</w:t>
      </w:r>
    </w:p>
    <w:p w14:paraId="6C1B4ED9" w14:textId="5542B2D1" w:rsidR="0028169D" w:rsidRPr="003C61AA" w:rsidRDefault="00207043" w:rsidP="0028169D">
      <w:pPr>
        <w:pStyle w:val="Heading1"/>
      </w:pPr>
      <w:bookmarkStart w:id="39" w:name="_Toc221353056"/>
      <w:bookmarkStart w:id="40" w:name="_Toc6922196"/>
      <w:r w:rsidRPr="003C61AA">
        <w:lastRenderedPageBreak/>
        <w:t>Specifications</w:t>
      </w:r>
      <w:bookmarkEnd w:id="39"/>
      <w:bookmarkEnd w:id="40"/>
    </w:p>
    <w:p w14:paraId="6EACC441" w14:textId="76085E0E" w:rsidR="0028169D" w:rsidRDefault="0028169D" w:rsidP="001C196F">
      <w:pPr>
        <w:pStyle w:val="Heading2"/>
      </w:pPr>
      <w:bookmarkStart w:id="41" w:name="_Toc221353057"/>
      <w:bookmarkStart w:id="42" w:name="_Toc6922197"/>
      <w:bookmarkEnd w:id="38"/>
      <w:r w:rsidRPr="003C61AA">
        <w:t>Physical Dimensions &amp; Material</w:t>
      </w:r>
      <w:bookmarkEnd w:id="41"/>
      <w:bookmarkEnd w:id="42"/>
    </w:p>
    <w:p w14:paraId="5A2B7C22" w14:textId="36B8DCC3" w:rsidR="003C6A8C" w:rsidRDefault="0028169D" w:rsidP="009C1BE9">
      <w:pPr>
        <w:pStyle w:val="Heading3"/>
      </w:pPr>
      <w:r w:rsidRPr="003C61AA">
        <w:t xml:space="preserve">The </w:t>
      </w:r>
      <w:r w:rsidR="00854A6D">
        <w:t xml:space="preserve">conditioning unit </w:t>
      </w:r>
      <w:r w:rsidR="003C6A8C">
        <w:t xml:space="preserve">shall be </w:t>
      </w:r>
      <w:r w:rsidR="00854A6D">
        <w:t>lightweight</w:t>
      </w:r>
      <w:r w:rsidR="00001BB0">
        <w:t xml:space="preserve"> (&lt;20 lbs.)</w:t>
      </w:r>
      <w:r w:rsidR="001C7813">
        <w:t xml:space="preserve"> and housed in a</w:t>
      </w:r>
      <w:r w:rsidR="00854A6D">
        <w:t xml:space="preserve"> durable</w:t>
      </w:r>
      <w:r w:rsidR="000D4775">
        <w:t xml:space="preserve"> enclosure </w:t>
      </w:r>
      <w:r w:rsidR="003C6A8C">
        <w:t xml:space="preserve">with </w:t>
      </w:r>
      <w:r w:rsidR="00C6223E">
        <w:t xml:space="preserve">a </w:t>
      </w:r>
      <w:r w:rsidR="003C6A8C">
        <w:t xml:space="preserve">footprint </w:t>
      </w:r>
      <w:r w:rsidR="00C6223E">
        <w:t>of approximately one square foot</w:t>
      </w:r>
      <w:r w:rsidR="009C1BE9">
        <w:t xml:space="preserve"> (1 sq. ft.)</w:t>
      </w:r>
      <w:r w:rsidR="00C6223E">
        <w:t>.</w:t>
      </w:r>
    </w:p>
    <w:p w14:paraId="74F1E154" w14:textId="3F4E26FD" w:rsidR="0028169D" w:rsidRDefault="00C6223E" w:rsidP="009C1BE9">
      <w:pPr>
        <w:pStyle w:val="Heading3"/>
      </w:pPr>
      <w:r>
        <w:t xml:space="preserve">The conditioning unit enclosure shall be </w:t>
      </w:r>
      <w:r w:rsidR="000D4775">
        <w:t>constructed of medical-grade thermoplastics</w:t>
      </w:r>
      <w:r>
        <w:t xml:space="preserve"> with high heat and impact ratings</w:t>
      </w:r>
      <w:r w:rsidR="000D4775">
        <w:t>.</w:t>
      </w:r>
    </w:p>
    <w:p w14:paraId="7E5E4D1F" w14:textId="1AA30494" w:rsidR="0028169D" w:rsidRDefault="000D4775" w:rsidP="009C1BE9">
      <w:pPr>
        <w:pStyle w:val="Heading3"/>
      </w:pPr>
      <w:r>
        <w:t xml:space="preserve">A built-in handle on </w:t>
      </w:r>
      <w:r w:rsidR="00B17588">
        <w:t xml:space="preserve">top of the </w:t>
      </w:r>
      <w:r>
        <w:t xml:space="preserve">conditioning unit </w:t>
      </w:r>
      <w:r w:rsidR="00B17588">
        <w:t>facilitates system mobility.</w:t>
      </w:r>
    </w:p>
    <w:p w14:paraId="0F1FE8CF" w14:textId="77777777" w:rsidR="0028169D" w:rsidRPr="003C61AA" w:rsidRDefault="0028169D" w:rsidP="001C196F">
      <w:pPr>
        <w:pStyle w:val="Heading2"/>
      </w:pPr>
      <w:bookmarkStart w:id="43" w:name="_Toc221353058"/>
      <w:bookmarkStart w:id="44" w:name="_Toc6922198"/>
      <w:r w:rsidRPr="003C61AA">
        <w:t>Environmental</w:t>
      </w:r>
      <w:bookmarkEnd w:id="43"/>
      <w:bookmarkEnd w:id="44"/>
    </w:p>
    <w:p w14:paraId="563308EB" w14:textId="24503544" w:rsidR="0028169D" w:rsidRPr="003C61AA" w:rsidRDefault="0028169D" w:rsidP="009C1BE9">
      <w:pPr>
        <w:pStyle w:val="Heading3"/>
      </w:pPr>
      <w:r w:rsidRPr="003C61AA">
        <w:t xml:space="preserve">Operating </w:t>
      </w:r>
      <w:r w:rsidR="007C4DE1">
        <w:t xml:space="preserve">ambient </w:t>
      </w:r>
      <w:r w:rsidRPr="003C61AA">
        <w:t>temperature</w:t>
      </w:r>
      <w:r w:rsidR="007C4DE1">
        <w:t>s</w:t>
      </w:r>
      <w:r w:rsidRPr="003C61AA">
        <w:t xml:space="preserve"> and h</w:t>
      </w:r>
      <w:r>
        <w:t xml:space="preserve">umidity: 0°C (32°F) to </w:t>
      </w:r>
      <w:r w:rsidR="00D30C86">
        <w:t>5</w:t>
      </w:r>
      <w:r>
        <w:t>0°C (1</w:t>
      </w:r>
      <w:r w:rsidR="00D30C86">
        <w:t>22</w:t>
      </w:r>
      <w:r w:rsidRPr="003C61AA">
        <w:t xml:space="preserve">°F), </w:t>
      </w:r>
      <w:r>
        <w:t>5</w:t>
      </w:r>
      <w:r w:rsidRPr="003C61AA">
        <w:t xml:space="preserve"> to </w:t>
      </w:r>
      <w:r>
        <w:t>9</w:t>
      </w:r>
      <w:r w:rsidR="001D76E0">
        <w:t>0</w:t>
      </w:r>
      <w:r w:rsidRPr="003C61AA">
        <w:t>% relative humidity.</w:t>
      </w:r>
    </w:p>
    <w:p w14:paraId="7EE9F04A" w14:textId="2EBDB5C0" w:rsidR="0028169D" w:rsidRPr="003C61AA" w:rsidRDefault="0028169D" w:rsidP="009C1BE9">
      <w:pPr>
        <w:pStyle w:val="Heading3"/>
      </w:pPr>
      <w:r>
        <w:t>Transport and s</w:t>
      </w:r>
      <w:r w:rsidRPr="003C61AA">
        <w:t xml:space="preserve">torage temperature and humidity: </w:t>
      </w:r>
      <w:r w:rsidR="008736DE">
        <w:t>-5</w:t>
      </w:r>
      <w:r w:rsidRPr="003C61AA">
        <w:t>°C (</w:t>
      </w:r>
      <w:r w:rsidR="008736DE">
        <w:t>23</w:t>
      </w:r>
      <w:r w:rsidRPr="003C61AA">
        <w:t xml:space="preserve">°F) to </w:t>
      </w:r>
      <w:r w:rsidR="00D30C86">
        <w:t>5</w:t>
      </w:r>
      <w:r w:rsidRPr="003C61AA">
        <w:t>0°C (1</w:t>
      </w:r>
      <w:r w:rsidR="00D30C86">
        <w:t>22</w:t>
      </w:r>
      <w:r w:rsidRPr="003C61AA">
        <w:t>°F), 5 to 9</w:t>
      </w:r>
      <w:r w:rsidR="001D76E0">
        <w:t>0</w:t>
      </w:r>
      <w:r w:rsidRPr="003C61AA">
        <w:t>% relative humidity.</w:t>
      </w:r>
    </w:p>
    <w:p w14:paraId="6FB44DAD" w14:textId="77777777" w:rsidR="0028169D" w:rsidRPr="003C61AA" w:rsidRDefault="0028169D" w:rsidP="009C1BE9">
      <w:pPr>
        <w:pStyle w:val="Heading3"/>
      </w:pPr>
      <w:r w:rsidRPr="003C61AA">
        <w:t xml:space="preserve">Altitude: The device </w:t>
      </w:r>
      <w:r>
        <w:t>shall</w:t>
      </w:r>
      <w:r w:rsidRPr="003C61AA">
        <w:t xml:space="preserve"> function normally at altitudes of -100 to +3,048 meters (10,000 feet).</w:t>
      </w:r>
    </w:p>
    <w:p w14:paraId="7314DD5B" w14:textId="34182867" w:rsidR="0028169D" w:rsidRPr="003C61AA" w:rsidRDefault="0028169D" w:rsidP="009C1BE9">
      <w:pPr>
        <w:pStyle w:val="Heading3"/>
      </w:pPr>
      <w:r w:rsidRPr="003C61AA">
        <w:t xml:space="preserve">Contaminants, </w:t>
      </w:r>
      <w:r w:rsidR="00D62F2D">
        <w:t>s</w:t>
      </w:r>
      <w:r w:rsidRPr="003C61AA">
        <w:t>pill/</w:t>
      </w:r>
      <w:proofErr w:type="gramStart"/>
      <w:r w:rsidR="00D62F2D">
        <w:t>s</w:t>
      </w:r>
      <w:r w:rsidRPr="003C61AA">
        <w:t>plash</w:t>
      </w:r>
      <w:proofErr w:type="gramEnd"/>
      <w:r w:rsidRPr="003C61AA">
        <w:t xml:space="preserve"> and </w:t>
      </w:r>
      <w:r w:rsidR="00D62F2D">
        <w:t>d</w:t>
      </w:r>
      <w:r w:rsidRPr="003C61AA">
        <w:t xml:space="preserve">rip </w:t>
      </w:r>
      <w:r w:rsidR="00D62F2D">
        <w:t>r</w:t>
      </w:r>
      <w:r w:rsidRPr="003C61AA">
        <w:t xml:space="preserve">esistance: </w:t>
      </w:r>
      <w:r w:rsidR="00D62F2D">
        <w:t xml:space="preserve">conditioning unit enclosure and umbilical </w:t>
      </w:r>
      <w:r w:rsidRPr="003C61AA">
        <w:t xml:space="preserve">shall be easily cleaned </w:t>
      </w:r>
      <w:r w:rsidR="00D62F2D">
        <w:t xml:space="preserve">with standard </w:t>
      </w:r>
      <w:r w:rsidRPr="003C61AA">
        <w:t>hospital</w:t>
      </w:r>
      <w:r w:rsidR="00D62F2D">
        <w:t>, clinic</w:t>
      </w:r>
      <w:r w:rsidR="007C4DE1">
        <w:t>,</w:t>
      </w:r>
      <w:r w:rsidR="00D62F2D">
        <w:t xml:space="preserve"> or household cleaners</w:t>
      </w:r>
      <w:r w:rsidRPr="003C61AA">
        <w:t>.</w:t>
      </w:r>
    </w:p>
    <w:p w14:paraId="027CE17A" w14:textId="6A3AB9B8" w:rsidR="0028169D" w:rsidRPr="003C61AA" w:rsidRDefault="0028169D" w:rsidP="009C1BE9">
      <w:pPr>
        <w:pStyle w:val="Heading3"/>
      </w:pPr>
      <w:r w:rsidRPr="003C61AA">
        <w:t xml:space="preserve">Shipping: </w:t>
      </w:r>
      <w:r w:rsidR="00887BE9">
        <w:t xml:space="preserve">system and packaging </w:t>
      </w:r>
      <w:r w:rsidR="00D62F2D">
        <w:t xml:space="preserve">shall </w:t>
      </w:r>
      <w:r w:rsidRPr="003C61AA">
        <w:t xml:space="preserve">withstand </w:t>
      </w:r>
      <w:r w:rsidR="00D62F2D">
        <w:t xml:space="preserve">typical </w:t>
      </w:r>
      <w:r w:rsidRPr="003C61AA">
        <w:t>freight shipment.</w:t>
      </w:r>
    </w:p>
    <w:p w14:paraId="0BE2AAB7" w14:textId="77777777" w:rsidR="0028169D" w:rsidRPr="003C61AA" w:rsidRDefault="0028169D" w:rsidP="001C196F">
      <w:pPr>
        <w:pStyle w:val="Heading2"/>
      </w:pPr>
      <w:bookmarkStart w:id="45" w:name="_Toc221353059"/>
      <w:bookmarkStart w:id="46" w:name="_Toc6922199"/>
      <w:r w:rsidRPr="003C61AA">
        <w:t>Power Supply</w:t>
      </w:r>
      <w:bookmarkEnd w:id="45"/>
      <w:bookmarkEnd w:id="46"/>
    </w:p>
    <w:p w14:paraId="11BBD41A" w14:textId="43989972" w:rsidR="0028169D" w:rsidRDefault="0028169D" w:rsidP="009C1BE9">
      <w:pPr>
        <w:pStyle w:val="Heading3"/>
      </w:pPr>
      <w:r>
        <w:t>The system shall have a u</w:t>
      </w:r>
      <w:r w:rsidRPr="003D5052">
        <w:t xml:space="preserve">niversal </w:t>
      </w:r>
      <w:r w:rsidR="00887BE9">
        <w:t xml:space="preserve">external </w:t>
      </w:r>
      <w:r w:rsidRPr="003D5052">
        <w:t xml:space="preserve">power supply </w:t>
      </w:r>
      <w:r>
        <w:t>(medical grade, class II) with the following specifications:</w:t>
      </w:r>
    </w:p>
    <w:p w14:paraId="6DC49498" w14:textId="77777777" w:rsidR="0028169D" w:rsidRPr="00E47453" w:rsidRDefault="0028169D" w:rsidP="009C1BE9">
      <w:pPr>
        <w:pStyle w:val="Heading4"/>
      </w:pPr>
      <w:r w:rsidRPr="00E47453">
        <w:t>Input: 115/230 VAC, 50/60 Hz</w:t>
      </w:r>
    </w:p>
    <w:p w14:paraId="29856DCA" w14:textId="5E730BBB" w:rsidR="0028169D" w:rsidRDefault="0028169D" w:rsidP="009C1BE9">
      <w:pPr>
        <w:pStyle w:val="Heading4"/>
      </w:pPr>
      <w:r w:rsidRPr="00E47453">
        <w:t>Output</w:t>
      </w:r>
      <w:r w:rsidR="00333A48">
        <w:t xml:space="preserve"> voltage</w:t>
      </w:r>
      <w:r w:rsidRPr="00E47453">
        <w:t xml:space="preserve">: </w:t>
      </w:r>
      <w:r w:rsidR="0083136A">
        <w:t xml:space="preserve">24 </w:t>
      </w:r>
      <w:r w:rsidRPr="00E47453">
        <w:t>VDC</w:t>
      </w:r>
    </w:p>
    <w:p w14:paraId="15E2A189" w14:textId="4C97E1C8" w:rsidR="00E457F9" w:rsidRDefault="00E457F9" w:rsidP="009C1BE9">
      <w:pPr>
        <w:pStyle w:val="Heading4"/>
      </w:pPr>
      <w:r>
        <w:t>Current: max surge 12.5A, operating &lt;10A</w:t>
      </w:r>
    </w:p>
    <w:p w14:paraId="7ED1A317" w14:textId="62782C5D" w:rsidR="0028169D" w:rsidRPr="00E47453" w:rsidRDefault="0028169D" w:rsidP="009C1BE9">
      <w:pPr>
        <w:pStyle w:val="Heading4"/>
      </w:pPr>
      <w:r>
        <w:t xml:space="preserve">Power: </w:t>
      </w:r>
      <w:r w:rsidR="0083136A">
        <w:t>300</w:t>
      </w:r>
      <w:r>
        <w:t xml:space="preserve"> W</w:t>
      </w:r>
    </w:p>
    <w:p w14:paraId="4B6A98D9" w14:textId="6FC4FC06" w:rsidR="0028169D" w:rsidRDefault="0028169D" w:rsidP="00CA0FBC">
      <w:pPr>
        <w:pStyle w:val="Heading3"/>
      </w:pPr>
      <w:r w:rsidRPr="00E47453">
        <w:t xml:space="preserve">The system shall operate normally with </w:t>
      </w:r>
      <w:r w:rsidR="00570781">
        <w:t xml:space="preserve">24 VDC </w:t>
      </w:r>
      <w:r w:rsidRPr="00E47453">
        <w:t xml:space="preserve">input from </w:t>
      </w:r>
      <w:r w:rsidR="00570781">
        <w:t xml:space="preserve">an external medical grade power supply, which can handle </w:t>
      </w:r>
      <w:r w:rsidRPr="00E47453">
        <w:t>115-230VAC at 50-60 Hz with the appropriate</w:t>
      </w:r>
      <w:r w:rsidRPr="003C61AA">
        <w:t xml:space="preserve"> country specific power cord.  In addition, the </w:t>
      </w:r>
      <w:r w:rsidR="00570781">
        <w:t xml:space="preserve">power supply </w:t>
      </w:r>
      <w:r w:rsidRPr="003C61AA">
        <w:t>shall accommodate different variations within the target regions consisting of North America</w:t>
      </w:r>
      <w:r w:rsidRPr="00D80D14">
        <w:t>, EU, Japan, and Russia.</w:t>
      </w:r>
    </w:p>
    <w:p w14:paraId="730559CD" w14:textId="29E22AFA" w:rsidR="00CB110A" w:rsidRPr="00D80D14" w:rsidRDefault="00CB110A" w:rsidP="003B6CF7">
      <w:pPr>
        <w:pStyle w:val="Heading4"/>
      </w:pPr>
      <w:r w:rsidRPr="003B6CF7">
        <w:t>The system shall also be capable of running with 24 VDC supply from an</w:t>
      </w:r>
      <w:r>
        <w:t xml:space="preserve"> </w:t>
      </w:r>
      <w:r w:rsidR="007405C6">
        <w:t xml:space="preserve">internal or </w:t>
      </w:r>
      <w:r>
        <w:t>external</w:t>
      </w:r>
      <w:r w:rsidR="004B43D2">
        <w:t xml:space="preserve"> rechargeable</w:t>
      </w:r>
      <w:r>
        <w:t xml:space="preserve"> battery</w:t>
      </w:r>
    </w:p>
    <w:p w14:paraId="5376A176" w14:textId="0355EF0E" w:rsidR="0028169D" w:rsidRPr="00D80D14" w:rsidRDefault="0028169D" w:rsidP="005029BD">
      <w:pPr>
        <w:pStyle w:val="Heading3"/>
      </w:pPr>
      <w:r w:rsidRPr="00D80D14">
        <w:t xml:space="preserve">The system shall draw less than </w:t>
      </w:r>
      <w:r w:rsidR="00333A48">
        <w:t>3</w:t>
      </w:r>
      <w:r w:rsidRPr="00D80D14">
        <w:t>00 Watts of power.</w:t>
      </w:r>
    </w:p>
    <w:p w14:paraId="391D662D" w14:textId="032A9191" w:rsidR="0028169D" w:rsidRPr="003C61AA" w:rsidRDefault="0028169D" w:rsidP="005029BD">
      <w:pPr>
        <w:pStyle w:val="Heading3"/>
      </w:pPr>
      <w:r w:rsidRPr="00E47453">
        <w:lastRenderedPageBreak/>
        <w:t xml:space="preserve">Removal of </w:t>
      </w:r>
      <w:r w:rsidR="00333A48">
        <w:t xml:space="preserve">external </w:t>
      </w:r>
      <w:r w:rsidRPr="00E47453">
        <w:t>power, whether deliberate or accidental, shall not create a safety hazard</w:t>
      </w:r>
      <w:r w:rsidRPr="003C61AA">
        <w:t>.</w:t>
      </w:r>
    </w:p>
    <w:p w14:paraId="00BDAA42" w14:textId="6E31ECFB" w:rsidR="0028169D" w:rsidRPr="00D80D14" w:rsidRDefault="0028169D" w:rsidP="005029BD">
      <w:pPr>
        <w:pStyle w:val="Heading3"/>
      </w:pPr>
      <w:r w:rsidRPr="003C61AA">
        <w:t xml:space="preserve">The </w:t>
      </w:r>
      <w:r w:rsidRPr="00D80D14">
        <w:t>device shall have a</w:t>
      </w:r>
      <w:r w:rsidR="00333A48">
        <w:t>n external</w:t>
      </w:r>
      <w:r w:rsidRPr="00D80D14">
        <w:t xml:space="preserve"> switch to power </w:t>
      </w:r>
      <w:r w:rsidR="004B43D2">
        <w:t>the unit ON</w:t>
      </w:r>
      <w:r w:rsidRPr="00D80D14">
        <w:t xml:space="preserve"> or </w:t>
      </w:r>
      <w:r w:rsidR="004B43D2">
        <w:t>OFF</w:t>
      </w:r>
      <w:r w:rsidRPr="00D80D14">
        <w:t>.</w:t>
      </w:r>
    </w:p>
    <w:p w14:paraId="2BBB5498" w14:textId="77777777" w:rsidR="0028169D" w:rsidRDefault="0028169D" w:rsidP="001C196F">
      <w:pPr>
        <w:pStyle w:val="Heading2"/>
      </w:pPr>
      <w:bookmarkStart w:id="47" w:name="_Toc221353062"/>
      <w:bookmarkStart w:id="48" w:name="_Toc6922202"/>
      <w:bookmarkStart w:id="49" w:name="_Toc101158490"/>
      <w:r w:rsidRPr="003C61AA">
        <w:t>Temperature Control</w:t>
      </w:r>
      <w:bookmarkEnd w:id="47"/>
      <w:bookmarkEnd w:id="48"/>
    </w:p>
    <w:p w14:paraId="4CA90297" w14:textId="4DDCBC78" w:rsidR="0028169D" w:rsidRDefault="0028169D" w:rsidP="005029BD">
      <w:pPr>
        <w:pStyle w:val="Heading3"/>
      </w:pPr>
      <w:r>
        <w:t xml:space="preserve">The </w:t>
      </w:r>
      <w:r w:rsidR="007A4BDE">
        <w:t xml:space="preserve">THQ </w:t>
      </w:r>
      <w:r w:rsidR="007405C6">
        <w:t>system</w:t>
      </w:r>
      <w:r w:rsidR="00B60FFF">
        <w:t xml:space="preserve"> </w:t>
      </w:r>
      <w:r>
        <w:t xml:space="preserve">shall regulate patient temperature by controlling </w:t>
      </w:r>
      <w:r w:rsidR="00534AD0">
        <w:t xml:space="preserve">coolant </w:t>
      </w:r>
      <w:r>
        <w:t xml:space="preserve">temperature to the patient-contacting </w:t>
      </w:r>
      <w:r w:rsidR="00534AD0">
        <w:t xml:space="preserve">pad </w:t>
      </w:r>
      <w:r>
        <w:t xml:space="preserve">through </w:t>
      </w:r>
      <w:r w:rsidR="0083436A">
        <w:t>cycles</w:t>
      </w:r>
      <w:r>
        <w:t xml:space="preserve"> of cooling</w:t>
      </w:r>
      <w:r w:rsidR="007405C6">
        <w:t xml:space="preserve"> and heating</w:t>
      </w:r>
      <w:r>
        <w:t>:</w:t>
      </w:r>
    </w:p>
    <w:p w14:paraId="31A972F3" w14:textId="3E207E7A" w:rsidR="0028169D" w:rsidRDefault="0028169D" w:rsidP="003B6CF7">
      <w:pPr>
        <w:pStyle w:val="Heading4"/>
      </w:pPr>
      <w:r>
        <w:t xml:space="preserve">During </w:t>
      </w:r>
      <w:r w:rsidR="007405C6">
        <w:t>operation,</w:t>
      </w:r>
      <w:r>
        <w:t xml:space="preserve"> the </w:t>
      </w:r>
      <w:r w:rsidR="00356194">
        <w:t xml:space="preserve">system </w:t>
      </w:r>
      <w:r>
        <w:t xml:space="preserve">will </w:t>
      </w:r>
      <w:r w:rsidR="00E061A8">
        <w:t>continuously</w:t>
      </w:r>
      <w:r w:rsidR="00356194">
        <w:t xml:space="preserve"> monitor and </w:t>
      </w:r>
      <w:r>
        <w:t>modulat</w:t>
      </w:r>
      <w:r w:rsidR="00E061A8">
        <w:t>e</w:t>
      </w:r>
      <w:r>
        <w:t xml:space="preserve"> </w:t>
      </w:r>
      <w:r w:rsidR="00E061A8">
        <w:t>c</w:t>
      </w:r>
      <w:r>
        <w:t xml:space="preserve">oolant temperature to </w:t>
      </w:r>
      <w:r w:rsidR="00E061A8">
        <w:t>maintain t</w:t>
      </w:r>
      <w:r>
        <w:t>arget</w:t>
      </w:r>
      <w:r w:rsidR="00E061A8">
        <w:t xml:space="preserve"> output</w:t>
      </w:r>
      <w:r>
        <w:t>.</w:t>
      </w:r>
    </w:p>
    <w:p w14:paraId="4CAB8F9F" w14:textId="10E1C112" w:rsidR="0028169D" w:rsidRPr="00E47453" w:rsidRDefault="0028169D" w:rsidP="003B6CF7">
      <w:pPr>
        <w:pStyle w:val="Heading4"/>
      </w:pPr>
      <w:r>
        <w:t xml:space="preserve">At termination of </w:t>
      </w:r>
      <w:r w:rsidR="007405C6">
        <w:t>treatment</w:t>
      </w:r>
      <w:r w:rsidRPr="00E47453">
        <w:t>, once the user-set duration has elapsed</w:t>
      </w:r>
      <w:r w:rsidR="00632D28">
        <w:t xml:space="preserve"> or a user has manually ended </w:t>
      </w:r>
      <w:r w:rsidR="007405C6">
        <w:t>treatment</w:t>
      </w:r>
      <w:r w:rsidRPr="00E47453">
        <w:t xml:space="preserve">, the system will stop delivering </w:t>
      </w:r>
      <w:r w:rsidR="00632D28">
        <w:t>c</w:t>
      </w:r>
      <w:r>
        <w:t>oolant</w:t>
      </w:r>
      <w:r w:rsidRPr="00E47453">
        <w:t xml:space="preserve"> to the patient-contacting </w:t>
      </w:r>
      <w:r w:rsidR="00632D28">
        <w:t>p</w:t>
      </w:r>
      <w:r>
        <w:t>ad</w:t>
      </w:r>
      <w:r w:rsidRPr="00E47453">
        <w:t>.</w:t>
      </w:r>
    </w:p>
    <w:p w14:paraId="6CB19B34" w14:textId="270D24EC" w:rsidR="0028169D" w:rsidRDefault="0028169D" w:rsidP="005029BD">
      <w:pPr>
        <w:pStyle w:val="Heading3"/>
      </w:pPr>
      <w:r w:rsidRPr="00E47453">
        <w:t xml:space="preserve">The </w:t>
      </w:r>
      <w:r w:rsidR="005C25EA">
        <w:t xml:space="preserve">system </w:t>
      </w:r>
      <w:r w:rsidRPr="00E47453">
        <w:t xml:space="preserve">shall control </w:t>
      </w:r>
      <w:r w:rsidR="005C25EA">
        <w:t xml:space="preserve">coolant </w:t>
      </w:r>
      <w:r w:rsidRPr="00E47453">
        <w:t xml:space="preserve">temperature in </w:t>
      </w:r>
      <w:r w:rsidR="00920432">
        <w:t xml:space="preserve">a </w:t>
      </w:r>
      <w:r>
        <w:t xml:space="preserve">range </w:t>
      </w:r>
      <w:r w:rsidR="00920432">
        <w:t>of -5</w:t>
      </w:r>
      <w:r w:rsidR="00920432" w:rsidRPr="007B6DC9">
        <w:t>°C (</w:t>
      </w:r>
      <w:r w:rsidR="00920432">
        <w:t>23</w:t>
      </w:r>
      <w:r w:rsidR="00920432" w:rsidRPr="007B6DC9">
        <w:t xml:space="preserve">°F) </w:t>
      </w:r>
      <w:r w:rsidR="00920432">
        <w:t>to</w:t>
      </w:r>
      <w:r w:rsidR="00920432" w:rsidRPr="007B6DC9">
        <w:t xml:space="preserve"> </w:t>
      </w:r>
      <w:r w:rsidR="001B30C8">
        <w:t>50</w:t>
      </w:r>
      <w:r w:rsidR="00920432" w:rsidRPr="007B6DC9">
        <w:t>°C (</w:t>
      </w:r>
      <w:r w:rsidR="001B30C8">
        <w:t>122</w:t>
      </w:r>
      <w:r w:rsidR="00920432" w:rsidRPr="007B6DC9">
        <w:t>°F)</w:t>
      </w:r>
      <w:r>
        <w:t xml:space="preserve"> in increments of 1.0°F.</w:t>
      </w:r>
    </w:p>
    <w:p w14:paraId="21F58FD0" w14:textId="40B29E7C" w:rsidR="0028169D" w:rsidRDefault="0028169D" w:rsidP="005029BD">
      <w:pPr>
        <w:pStyle w:val="Heading3"/>
      </w:pPr>
      <w:r>
        <w:t xml:space="preserve">The </w:t>
      </w:r>
      <w:r w:rsidR="00851073">
        <w:t>s</w:t>
      </w:r>
      <w:r>
        <w:t xml:space="preserve">ystem shall </w:t>
      </w:r>
      <w:r w:rsidR="00760423">
        <w:t xml:space="preserve">use multiple thermistor probes to </w:t>
      </w:r>
      <w:r w:rsidR="00851073">
        <w:t>continuously monitor</w:t>
      </w:r>
      <w:r w:rsidR="0021018F">
        <w:t xml:space="preserve"> (for control and safety functions)</w:t>
      </w:r>
      <w:r w:rsidR="00851073">
        <w:t xml:space="preserve"> and </w:t>
      </w:r>
      <w:r>
        <w:t xml:space="preserve">display </w:t>
      </w:r>
      <w:r w:rsidR="0021018F">
        <w:t xml:space="preserve">(via GUI) </w:t>
      </w:r>
      <w:r w:rsidR="00851073">
        <w:t xml:space="preserve">coolant </w:t>
      </w:r>
      <w:r>
        <w:t xml:space="preserve">temperature in </w:t>
      </w:r>
      <w:r w:rsidRPr="00AA20F4">
        <w:t>increments of 0.1°C or 0.1°F.</w:t>
      </w:r>
    </w:p>
    <w:p w14:paraId="7A45F95F" w14:textId="77777777" w:rsidR="0028169D" w:rsidRDefault="0028169D" w:rsidP="001C196F">
      <w:pPr>
        <w:pStyle w:val="Heading2"/>
      </w:pPr>
      <w:bookmarkStart w:id="50" w:name="_Toc221353066"/>
      <w:bookmarkStart w:id="51" w:name="_Toc6922206"/>
      <w:bookmarkStart w:id="52" w:name="_Toc101158491"/>
      <w:bookmarkEnd w:id="49"/>
      <w:r>
        <w:t>Data System</w:t>
      </w:r>
      <w:bookmarkEnd w:id="50"/>
      <w:bookmarkEnd w:id="51"/>
    </w:p>
    <w:p w14:paraId="0452C8CD" w14:textId="60B89478" w:rsidR="0028169D" w:rsidRDefault="0028169D" w:rsidP="005029BD">
      <w:pPr>
        <w:pStyle w:val="Heading3"/>
      </w:pPr>
      <w:r>
        <w:t>System Maintenance Data</w:t>
      </w:r>
    </w:p>
    <w:p w14:paraId="50B1D958" w14:textId="3BBE546D" w:rsidR="003D6836" w:rsidRDefault="0028169D" w:rsidP="00022FFB">
      <w:pPr>
        <w:pStyle w:val="Heading4"/>
      </w:pPr>
      <w:r>
        <w:t>The system shall record time-stamped operational data</w:t>
      </w:r>
      <w:r w:rsidR="001B30C8">
        <w:t xml:space="preserve"> in a log that can be viewed after treatment</w:t>
      </w:r>
      <w:r w:rsidR="00EB032F">
        <w:t>.</w:t>
      </w:r>
    </w:p>
    <w:p w14:paraId="429A08AE" w14:textId="43F4F05A" w:rsidR="0028169D" w:rsidRDefault="0028169D" w:rsidP="00022FFB">
      <w:pPr>
        <w:pStyle w:val="Heading4"/>
      </w:pPr>
      <w:r w:rsidRPr="0027266D">
        <w:t>System maintenance data (principally ‘System Runtime’) shall be used to provide notifications of regularly scheduled maintenance to the operator (</w:t>
      </w:r>
      <w:proofErr w:type="gramStart"/>
      <w:r w:rsidRPr="0027266D">
        <w:t>e.g.</w:t>
      </w:r>
      <w:proofErr w:type="gramEnd"/>
      <w:r w:rsidRPr="0027266D">
        <w:t xml:space="preserve"> at “2,000 hours, operator is instructed during POST to contact </w:t>
      </w:r>
      <w:r w:rsidR="009C13E5">
        <w:t>Welkins</w:t>
      </w:r>
      <w:r w:rsidRPr="0027266D">
        <w:t xml:space="preserve"> for regularly schedule maintenance”)</w:t>
      </w:r>
    </w:p>
    <w:p w14:paraId="36BE8927" w14:textId="09ADB187" w:rsidR="008D0152" w:rsidRPr="0027266D" w:rsidRDefault="008D0152" w:rsidP="008D0152">
      <w:pPr>
        <w:pStyle w:val="ListParagraph"/>
        <w:numPr>
          <w:ilvl w:val="4"/>
          <w:numId w:val="30"/>
        </w:numPr>
        <w:spacing w:after="120"/>
        <w:contextualSpacing w:val="0"/>
      </w:pPr>
      <w:r>
        <w:t xml:space="preserve">Maintenance intervals shall be determined </w:t>
      </w:r>
      <w:r w:rsidR="000A4152">
        <w:t>during pre-market bench testing and routinely reviewed/updated thereafter.</w:t>
      </w:r>
    </w:p>
    <w:p w14:paraId="0562AD08" w14:textId="77777777" w:rsidR="0028169D" w:rsidRPr="003C3EC4" w:rsidRDefault="0028169D" w:rsidP="001C196F">
      <w:pPr>
        <w:pStyle w:val="Heading2"/>
      </w:pPr>
      <w:bookmarkStart w:id="53" w:name="_Toc221353068"/>
      <w:bookmarkStart w:id="54" w:name="_Toc6922208"/>
      <w:r w:rsidRPr="003C3EC4">
        <w:t>Labeling</w:t>
      </w:r>
      <w:bookmarkEnd w:id="52"/>
      <w:bookmarkEnd w:id="53"/>
      <w:bookmarkEnd w:id="54"/>
    </w:p>
    <w:p w14:paraId="2576702C" w14:textId="77777777" w:rsidR="0028169D" w:rsidRPr="003C3EC4" w:rsidRDefault="0028169D" w:rsidP="00194CC8">
      <w:pPr>
        <w:pStyle w:val="Heading3"/>
      </w:pPr>
      <w:r w:rsidRPr="003C3EC4">
        <w:t xml:space="preserve">External labeling of the device shall comply with governing standards </w:t>
      </w:r>
      <w:r>
        <w:t>(</w:t>
      </w:r>
      <w:r w:rsidRPr="00EF371F">
        <w:t>21 CFR 807.87(e)</w:t>
      </w:r>
      <w:r>
        <w:t xml:space="preserve">, etc.) </w:t>
      </w:r>
      <w:r w:rsidRPr="003C3EC4">
        <w:t>for durability, legibility and content.</w:t>
      </w:r>
    </w:p>
    <w:p w14:paraId="4BBA1CE1" w14:textId="77777777" w:rsidR="0028169D" w:rsidRPr="006877EC" w:rsidRDefault="0028169D" w:rsidP="001C196F">
      <w:pPr>
        <w:pStyle w:val="Heading2"/>
      </w:pPr>
      <w:bookmarkStart w:id="55" w:name="_Toc221353069"/>
      <w:bookmarkStart w:id="56" w:name="_Toc6922209"/>
      <w:r w:rsidRPr="006877EC">
        <w:t>Quality Control</w:t>
      </w:r>
      <w:bookmarkEnd w:id="55"/>
      <w:bookmarkEnd w:id="56"/>
    </w:p>
    <w:p w14:paraId="3DF2B5DC" w14:textId="6FA1EFCC" w:rsidR="0028169D" w:rsidRDefault="0028169D" w:rsidP="002E2F12">
      <w:pPr>
        <w:pStyle w:val="Heading3"/>
      </w:pPr>
      <w:r w:rsidRPr="002E2F12">
        <w:t xml:space="preserve">Throughout the development cycle special attention shall be placed on manufacturability with assembly procedures and processes in mind to minimize the labor content to reduce the total cost of the system.  </w:t>
      </w:r>
      <w:r w:rsidR="009C13E5">
        <w:t>Welkins</w:t>
      </w:r>
      <w:r w:rsidRPr="002E2F12">
        <w:t xml:space="preserve"> shall emphasize reliability, safety, repeatability, high manufacturing standards</w:t>
      </w:r>
      <w:r w:rsidRPr="006877EC">
        <w:t xml:space="preserve"> and quality control consistent with FDA good manufacturing practices.</w:t>
      </w:r>
    </w:p>
    <w:p w14:paraId="233795C3" w14:textId="77777777" w:rsidR="0028169D" w:rsidRPr="003C3EC4" w:rsidRDefault="0028169D" w:rsidP="001C196F">
      <w:pPr>
        <w:pStyle w:val="Heading2"/>
      </w:pPr>
      <w:bookmarkStart w:id="57" w:name="_Toc221353070"/>
      <w:bookmarkStart w:id="58" w:name="_Toc6922210"/>
      <w:r w:rsidRPr="003C3EC4">
        <w:lastRenderedPageBreak/>
        <w:t>General</w:t>
      </w:r>
      <w:bookmarkEnd w:id="57"/>
      <w:bookmarkEnd w:id="58"/>
    </w:p>
    <w:p w14:paraId="26790F57" w14:textId="789BB01D" w:rsidR="0028169D" w:rsidRPr="003C3EC4" w:rsidRDefault="0028169D" w:rsidP="00194CC8">
      <w:pPr>
        <w:pStyle w:val="Heading3"/>
      </w:pPr>
      <w:r w:rsidRPr="003C3EC4">
        <w:t>Connectors shall be keyed so that misconnection of system and/or components devices is prevented.</w:t>
      </w:r>
    </w:p>
    <w:p w14:paraId="0D4E4A9C" w14:textId="77777777" w:rsidR="0028169D" w:rsidRPr="007240DD" w:rsidRDefault="0028169D" w:rsidP="00194CC8">
      <w:pPr>
        <w:pStyle w:val="Heading3"/>
      </w:pPr>
      <w:r w:rsidRPr="003C3EC4">
        <w:t xml:space="preserve">Connectors shall be of a type for use in a continuously moving device and able to </w:t>
      </w:r>
      <w:r w:rsidRPr="007240DD">
        <w:t>perform well under high shock / vibration conditions.</w:t>
      </w:r>
    </w:p>
    <w:p w14:paraId="0F90F986" w14:textId="6584D6A5" w:rsidR="0028169D" w:rsidRPr="007240DD" w:rsidRDefault="0028169D" w:rsidP="00194CC8">
      <w:pPr>
        <w:pStyle w:val="Heading3"/>
      </w:pPr>
      <w:r w:rsidRPr="007240DD">
        <w:t>Umbilical connectors shall be of a breakaway type that quick-release at approximately 8 lbs. pressure to avoid a tripping hazard.</w:t>
      </w:r>
    </w:p>
    <w:p w14:paraId="273646E7" w14:textId="127154F3" w:rsidR="00EB032F" w:rsidRPr="00EB032F" w:rsidRDefault="0028169D" w:rsidP="00EB032F">
      <w:pPr>
        <w:pStyle w:val="Heading3"/>
      </w:pPr>
      <w:r w:rsidRPr="007240DD">
        <w:t xml:space="preserve">Umbilical connectors shall </w:t>
      </w:r>
      <w:r w:rsidR="00476824">
        <w:t xml:space="preserve">be valved so that they </w:t>
      </w:r>
      <w:r w:rsidRPr="007240DD">
        <w:t xml:space="preserve">automatically close </w:t>
      </w:r>
      <w:r w:rsidR="00476824">
        <w:t xml:space="preserve">upon </w:t>
      </w:r>
      <w:r w:rsidRPr="007240DD">
        <w:t>disconnect</w:t>
      </w:r>
      <w:r w:rsidR="00476824">
        <w:t>ion</w:t>
      </w:r>
      <w:r w:rsidRPr="007240DD">
        <w:t xml:space="preserve"> to prevent leakage.</w:t>
      </w:r>
    </w:p>
    <w:sectPr w:rsidR="00EB032F" w:rsidRPr="00EB032F" w:rsidSect="002C391A">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93329" w14:textId="77777777" w:rsidR="00F24B3D" w:rsidRPr="007A47D8" w:rsidRDefault="00F24B3D" w:rsidP="00596325">
      <w:r w:rsidRPr="007A47D8">
        <w:separator/>
      </w:r>
    </w:p>
  </w:endnote>
  <w:endnote w:type="continuationSeparator" w:id="0">
    <w:p w14:paraId="0E6A9467" w14:textId="77777777" w:rsidR="00F24B3D" w:rsidRPr="007A47D8" w:rsidRDefault="00F24B3D" w:rsidP="00596325">
      <w:r w:rsidRPr="007A47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o Heavy">
    <w:altName w:val="Segoe UI"/>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C62D7" w14:textId="77777777" w:rsidR="00F24B3D" w:rsidRPr="007A47D8" w:rsidRDefault="00F24B3D" w:rsidP="00596325">
      <w:r w:rsidRPr="007A47D8">
        <w:separator/>
      </w:r>
    </w:p>
  </w:footnote>
  <w:footnote w:type="continuationSeparator" w:id="0">
    <w:p w14:paraId="0BC955B2" w14:textId="77777777" w:rsidR="00F24B3D" w:rsidRPr="007A47D8" w:rsidRDefault="00F24B3D" w:rsidP="00596325">
      <w:r w:rsidRPr="007A47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Layout w:type="fixed"/>
      <w:tblCellMar>
        <w:left w:w="120" w:type="dxa"/>
        <w:right w:w="120" w:type="dxa"/>
      </w:tblCellMar>
      <w:tblLook w:val="0000" w:firstRow="0" w:lastRow="0" w:firstColumn="0" w:lastColumn="0" w:noHBand="0" w:noVBand="0"/>
    </w:tblPr>
    <w:tblGrid>
      <w:gridCol w:w="2639"/>
      <w:gridCol w:w="3601"/>
      <w:gridCol w:w="900"/>
      <w:gridCol w:w="1440"/>
      <w:gridCol w:w="420"/>
      <w:gridCol w:w="720"/>
    </w:tblGrid>
    <w:tr w:rsidR="00AC33DE" w:rsidRPr="00596325" w14:paraId="4C88C5C8" w14:textId="77777777" w:rsidTr="00E044FB">
      <w:trPr>
        <w:trHeight w:hRule="exact" w:val="550"/>
      </w:trPr>
      <w:tc>
        <w:tcPr>
          <w:tcW w:w="2639" w:type="dxa"/>
          <w:tcBorders>
            <w:top w:val="single" w:sz="4" w:space="0" w:color="auto"/>
            <w:left w:val="single" w:sz="4" w:space="0" w:color="auto"/>
            <w:bottom w:val="single" w:sz="4" w:space="0" w:color="auto"/>
          </w:tcBorders>
          <w:shd w:val="pct10" w:color="auto" w:fill="FFFFFF"/>
          <w:vAlign w:val="center"/>
        </w:tcPr>
        <w:p w14:paraId="78B5D34A" w14:textId="77777777" w:rsidR="00AC33DE" w:rsidRPr="00E044FB" w:rsidRDefault="00AC33DE" w:rsidP="0073474C">
          <w:pPr>
            <w:rPr>
              <w:rFonts w:asciiTheme="majorHAnsi" w:hAnsiTheme="majorHAnsi"/>
            </w:rPr>
          </w:pPr>
          <w:r w:rsidRPr="00E044FB">
            <w:rPr>
              <w:rFonts w:asciiTheme="majorHAnsi" w:hAnsiTheme="majorHAnsi"/>
              <w:sz w:val="28"/>
            </w:rPr>
            <w:t>CONFIDENTIAL</w:t>
          </w:r>
        </w:p>
      </w:tc>
      <w:tc>
        <w:tcPr>
          <w:tcW w:w="4501" w:type="dxa"/>
          <w:gridSpan w:val="2"/>
          <w:tcBorders>
            <w:top w:val="single" w:sz="4" w:space="0" w:color="auto"/>
            <w:left w:val="single" w:sz="6" w:space="0" w:color="auto"/>
            <w:bottom w:val="single" w:sz="4" w:space="0" w:color="auto"/>
            <w:right w:val="single" w:sz="4" w:space="0" w:color="auto"/>
          </w:tcBorders>
          <w:vAlign w:val="center"/>
        </w:tcPr>
        <w:p w14:paraId="7277C221" w14:textId="77810F02" w:rsidR="00AC33DE" w:rsidRPr="00E044FB" w:rsidRDefault="00AC33DE" w:rsidP="00FA17C3">
          <w:pPr>
            <w:tabs>
              <w:tab w:val="left" w:pos="-720"/>
            </w:tabs>
            <w:suppressAutoHyphens/>
            <w:rPr>
              <w:rFonts w:asciiTheme="majorHAnsi" w:hAnsiTheme="majorHAnsi" w:cs="Arial"/>
              <w:sz w:val="22"/>
            </w:rPr>
          </w:pPr>
          <w:r w:rsidRPr="00E044FB">
            <w:rPr>
              <w:rFonts w:asciiTheme="majorHAnsi" w:hAnsiTheme="majorHAnsi" w:cs="Arial"/>
              <w:sz w:val="28"/>
              <w:szCs w:val="28"/>
            </w:rPr>
            <w:t>W</w:t>
          </w:r>
          <w:r>
            <w:rPr>
              <w:rFonts w:asciiTheme="majorHAnsi" w:hAnsiTheme="majorHAnsi" w:cs="Arial"/>
              <w:sz w:val="28"/>
              <w:szCs w:val="28"/>
            </w:rPr>
            <w:t>e</w:t>
          </w:r>
          <w:r w:rsidRPr="00E044FB">
            <w:rPr>
              <w:rFonts w:asciiTheme="majorHAnsi" w:hAnsiTheme="majorHAnsi" w:cs="Arial"/>
              <w:sz w:val="28"/>
              <w:szCs w:val="28"/>
            </w:rPr>
            <w:t>lkins Design Specification</w:t>
          </w:r>
        </w:p>
      </w:tc>
      <w:tc>
        <w:tcPr>
          <w:tcW w:w="1440" w:type="dxa"/>
          <w:tcBorders>
            <w:top w:val="single" w:sz="4" w:space="0" w:color="auto"/>
            <w:left w:val="single" w:sz="4" w:space="0" w:color="auto"/>
            <w:bottom w:val="single" w:sz="4" w:space="0" w:color="auto"/>
            <w:right w:val="single" w:sz="4" w:space="0" w:color="auto"/>
          </w:tcBorders>
          <w:vAlign w:val="center"/>
        </w:tcPr>
        <w:p w14:paraId="775F5CC1" w14:textId="4BAAC7CC" w:rsidR="00AC33DE" w:rsidRPr="007A47D8" w:rsidRDefault="00AC33DE" w:rsidP="00FA17C3">
          <w:pPr>
            <w:tabs>
              <w:tab w:val="left" w:pos="-720"/>
              <w:tab w:val="left" w:pos="26563"/>
            </w:tabs>
            <w:suppressAutoHyphens/>
            <w:rPr>
              <w:rFonts w:cs="Arial"/>
              <w:sz w:val="16"/>
            </w:rPr>
          </w:pPr>
          <w:r>
            <w:rPr>
              <w:rFonts w:cs="Arial"/>
              <w:sz w:val="16"/>
            </w:rPr>
            <w:t>DATE</w:t>
          </w:r>
        </w:p>
        <w:p w14:paraId="20764031" w14:textId="0C3C74AD" w:rsidR="00AC33DE" w:rsidRPr="007A47D8" w:rsidRDefault="00A8397F" w:rsidP="00FA17C3">
          <w:pPr>
            <w:tabs>
              <w:tab w:val="left" w:pos="-720"/>
            </w:tabs>
            <w:suppressAutoHyphens/>
            <w:rPr>
              <w:rFonts w:cs="Arial"/>
              <w:sz w:val="22"/>
            </w:rPr>
          </w:pPr>
          <w:r>
            <w:rPr>
              <w:rFonts w:cs="Arial"/>
              <w:bCs/>
              <w:sz w:val="22"/>
            </w:rPr>
            <w:t>08/08/22</w:t>
          </w:r>
        </w:p>
      </w:tc>
      <w:tc>
        <w:tcPr>
          <w:tcW w:w="1140" w:type="dxa"/>
          <w:gridSpan w:val="2"/>
          <w:tcBorders>
            <w:top w:val="single" w:sz="4" w:space="0" w:color="auto"/>
            <w:left w:val="single" w:sz="4" w:space="0" w:color="auto"/>
            <w:bottom w:val="single" w:sz="4" w:space="0" w:color="auto"/>
            <w:right w:val="single" w:sz="4" w:space="0" w:color="auto"/>
          </w:tcBorders>
          <w:vAlign w:val="center"/>
        </w:tcPr>
        <w:p w14:paraId="738956D0" w14:textId="56B7C595" w:rsidR="00AC33DE" w:rsidRPr="007A47D8" w:rsidRDefault="00AC33DE" w:rsidP="00D52FD1">
          <w:pPr>
            <w:tabs>
              <w:tab w:val="left" w:pos="-720"/>
            </w:tabs>
            <w:suppressAutoHyphens/>
            <w:rPr>
              <w:rFonts w:cs="Arial"/>
              <w:sz w:val="16"/>
            </w:rPr>
          </w:pPr>
          <w:r>
            <w:rPr>
              <w:rFonts w:cs="Arial"/>
              <w:sz w:val="16"/>
            </w:rPr>
            <w:t>PAGE</w:t>
          </w:r>
        </w:p>
        <w:p w14:paraId="76D4608C" w14:textId="68FC6547" w:rsidR="00AC33DE" w:rsidRPr="007A47D8" w:rsidRDefault="00AC33DE" w:rsidP="00D52FD1">
          <w:pPr>
            <w:tabs>
              <w:tab w:val="left" w:pos="-720"/>
            </w:tabs>
            <w:suppressAutoHyphens/>
            <w:rPr>
              <w:rFonts w:cs="Arial"/>
              <w:sz w:val="22"/>
            </w:rPr>
          </w:pPr>
          <w:r w:rsidRPr="007A47D8">
            <w:rPr>
              <w:rFonts w:cs="Arial"/>
              <w:sz w:val="22"/>
            </w:rPr>
            <w:fldChar w:fldCharType="begin"/>
          </w:r>
          <w:r w:rsidRPr="007A47D8">
            <w:rPr>
              <w:rFonts w:cs="Arial"/>
              <w:sz w:val="22"/>
            </w:rPr>
            <w:instrText xml:space="preserve"> PAGE </w:instrText>
          </w:r>
          <w:r w:rsidRPr="007A47D8">
            <w:rPr>
              <w:rFonts w:cs="Arial"/>
              <w:sz w:val="22"/>
            </w:rPr>
            <w:fldChar w:fldCharType="separate"/>
          </w:r>
          <w:r w:rsidRPr="007A47D8">
            <w:rPr>
              <w:rFonts w:cs="Arial"/>
              <w:noProof/>
              <w:sz w:val="22"/>
            </w:rPr>
            <w:t>1</w:t>
          </w:r>
          <w:r w:rsidRPr="007A47D8">
            <w:rPr>
              <w:rFonts w:cs="Arial"/>
              <w:sz w:val="22"/>
            </w:rPr>
            <w:fldChar w:fldCharType="end"/>
          </w:r>
          <w:r w:rsidRPr="007A47D8">
            <w:rPr>
              <w:rFonts w:cs="Arial"/>
              <w:sz w:val="22"/>
            </w:rPr>
            <w:t xml:space="preserve"> </w:t>
          </w:r>
          <w:r>
            <w:rPr>
              <w:rFonts w:cs="Arial"/>
              <w:sz w:val="22"/>
            </w:rPr>
            <w:t>/</w:t>
          </w:r>
          <w:r w:rsidRPr="007A47D8">
            <w:rPr>
              <w:rFonts w:cs="Arial"/>
              <w:sz w:val="22"/>
            </w:rPr>
            <w:t xml:space="preserve"> </w:t>
          </w:r>
          <w:r w:rsidRPr="007A47D8">
            <w:rPr>
              <w:rFonts w:cs="Arial"/>
              <w:sz w:val="22"/>
            </w:rPr>
            <w:fldChar w:fldCharType="begin"/>
          </w:r>
          <w:r w:rsidRPr="007A47D8">
            <w:rPr>
              <w:rFonts w:cs="Arial"/>
              <w:sz w:val="22"/>
            </w:rPr>
            <w:instrText xml:space="preserve"> NUMPAGES </w:instrText>
          </w:r>
          <w:r w:rsidRPr="007A47D8">
            <w:rPr>
              <w:rFonts w:cs="Arial"/>
              <w:sz w:val="22"/>
            </w:rPr>
            <w:fldChar w:fldCharType="separate"/>
          </w:r>
          <w:r w:rsidRPr="007A47D8">
            <w:rPr>
              <w:rFonts w:cs="Arial"/>
              <w:noProof/>
              <w:sz w:val="22"/>
            </w:rPr>
            <w:t>1</w:t>
          </w:r>
          <w:r w:rsidRPr="007A47D8">
            <w:rPr>
              <w:rFonts w:cs="Arial"/>
              <w:sz w:val="22"/>
            </w:rPr>
            <w:fldChar w:fldCharType="end"/>
          </w:r>
        </w:p>
      </w:tc>
    </w:tr>
    <w:tr w:rsidR="00AC33DE" w:rsidRPr="00596325" w14:paraId="6538DA45" w14:textId="77777777" w:rsidTr="00E044FB">
      <w:trPr>
        <w:trHeight w:hRule="exact" w:val="541"/>
      </w:trPr>
      <w:tc>
        <w:tcPr>
          <w:tcW w:w="6240" w:type="dxa"/>
          <w:gridSpan w:val="2"/>
          <w:tcBorders>
            <w:left w:val="single" w:sz="6" w:space="0" w:color="auto"/>
            <w:bottom w:val="single" w:sz="6" w:space="0" w:color="auto"/>
          </w:tcBorders>
          <w:vAlign w:val="center"/>
        </w:tcPr>
        <w:p w14:paraId="36186B4A" w14:textId="77777777" w:rsidR="00AC33DE" w:rsidRPr="007A47D8" w:rsidRDefault="00AC33DE" w:rsidP="00FA17C3">
          <w:pPr>
            <w:tabs>
              <w:tab w:val="left" w:pos="-720"/>
            </w:tabs>
            <w:suppressAutoHyphens/>
            <w:rPr>
              <w:rFonts w:cs="Arial"/>
              <w:sz w:val="16"/>
            </w:rPr>
          </w:pPr>
          <w:r w:rsidRPr="007A47D8">
            <w:rPr>
              <w:rFonts w:cs="Arial"/>
              <w:sz w:val="16"/>
            </w:rPr>
            <w:t>TITLE</w:t>
          </w:r>
        </w:p>
        <w:p w14:paraId="61D8C35B" w14:textId="3FFA793F" w:rsidR="00AC33DE" w:rsidRPr="00596325" w:rsidRDefault="00A8397F" w:rsidP="00FA17C3">
          <w:pPr>
            <w:pStyle w:val="Footer"/>
            <w:tabs>
              <w:tab w:val="clear" w:pos="4320"/>
              <w:tab w:val="clear" w:pos="8640"/>
              <w:tab w:val="left" w:pos="-720"/>
            </w:tabs>
            <w:suppressAutoHyphens/>
            <w:rPr>
              <w:rFonts w:ascii="Arial" w:hAnsi="Arial" w:cs="Arial"/>
            </w:rPr>
          </w:pPr>
          <w:r>
            <w:rPr>
              <w:rFonts w:ascii="Arial" w:hAnsi="Arial" w:cs="Arial"/>
            </w:rPr>
            <w:t>Thermaquil</w:t>
          </w:r>
          <w:r w:rsidR="00AC33DE" w:rsidRPr="0028169D">
            <w:rPr>
              <w:rFonts w:ascii="Arial" w:hAnsi="Arial" w:cs="Arial"/>
            </w:rPr>
            <w:t xml:space="preserve"> System Design Specification</w:t>
          </w:r>
        </w:p>
      </w:tc>
      <w:tc>
        <w:tcPr>
          <w:tcW w:w="900" w:type="dxa"/>
          <w:tcBorders>
            <w:left w:val="single" w:sz="6" w:space="0" w:color="auto"/>
            <w:bottom w:val="single" w:sz="6" w:space="0" w:color="auto"/>
            <w:right w:val="single" w:sz="6" w:space="0" w:color="auto"/>
          </w:tcBorders>
          <w:vAlign w:val="center"/>
        </w:tcPr>
        <w:p w14:paraId="53CB7337" w14:textId="77777777" w:rsidR="00AC33DE" w:rsidRPr="007A47D8" w:rsidRDefault="00AC33DE" w:rsidP="00FA17C3">
          <w:pPr>
            <w:tabs>
              <w:tab w:val="left" w:pos="-720"/>
              <w:tab w:val="left" w:pos="26563"/>
            </w:tabs>
            <w:suppressAutoHyphens/>
            <w:rPr>
              <w:rFonts w:cs="Arial"/>
              <w:sz w:val="16"/>
            </w:rPr>
          </w:pPr>
          <w:r w:rsidRPr="007A47D8">
            <w:rPr>
              <w:rFonts w:cs="Arial"/>
              <w:sz w:val="16"/>
            </w:rPr>
            <w:t>WRITER</w:t>
          </w:r>
        </w:p>
        <w:p w14:paraId="3F0FFA2B" w14:textId="6EC5A111" w:rsidR="00AC33DE" w:rsidRPr="00596325" w:rsidRDefault="00A8397F" w:rsidP="00FA17C3">
          <w:pPr>
            <w:pStyle w:val="TOAHeading"/>
            <w:tabs>
              <w:tab w:val="clear" w:pos="9360"/>
              <w:tab w:val="left" w:pos="-720"/>
              <w:tab w:val="left" w:pos="26563"/>
            </w:tabs>
            <w:rPr>
              <w:rFonts w:ascii="Arial" w:hAnsi="Arial" w:cs="Arial"/>
              <w:sz w:val="22"/>
            </w:rPr>
          </w:pPr>
          <w:r>
            <w:rPr>
              <w:rFonts w:ascii="Arial" w:hAnsi="Arial" w:cs="Arial"/>
              <w:sz w:val="22"/>
            </w:rPr>
            <w:t>DL</w:t>
          </w:r>
        </w:p>
      </w:tc>
      <w:tc>
        <w:tcPr>
          <w:tcW w:w="1860" w:type="dxa"/>
          <w:gridSpan w:val="2"/>
          <w:tcBorders>
            <w:left w:val="single" w:sz="6" w:space="0" w:color="auto"/>
            <w:bottom w:val="single" w:sz="6" w:space="0" w:color="auto"/>
            <w:right w:val="single" w:sz="6" w:space="0" w:color="auto"/>
          </w:tcBorders>
          <w:vAlign w:val="center"/>
        </w:tcPr>
        <w:p w14:paraId="62FD20C1" w14:textId="77777777" w:rsidR="00AC33DE" w:rsidRPr="007A47D8" w:rsidRDefault="00AC33DE" w:rsidP="00FA17C3">
          <w:pPr>
            <w:tabs>
              <w:tab w:val="left" w:pos="-720"/>
              <w:tab w:val="left" w:pos="26563"/>
            </w:tabs>
            <w:suppressAutoHyphens/>
            <w:rPr>
              <w:rFonts w:cs="Arial"/>
              <w:sz w:val="16"/>
            </w:rPr>
          </w:pPr>
          <w:r w:rsidRPr="007A47D8">
            <w:rPr>
              <w:rFonts w:cs="Arial"/>
              <w:sz w:val="16"/>
            </w:rPr>
            <w:t>DOC. NO.</w:t>
          </w:r>
        </w:p>
        <w:p w14:paraId="23DE83DA" w14:textId="39613D83" w:rsidR="00AC33DE" w:rsidRPr="007A47D8" w:rsidRDefault="00AC33DE" w:rsidP="0028169D">
          <w:pPr>
            <w:rPr>
              <w:rFonts w:cs="Arial"/>
            </w:rPr>
          </w:pPr>
          <w:r w:rsidRPr="007A47D8">
            <w:rPr>
              <w:rFonts w:cs="Arial"/>
              <w:sz w:val="22"/>
            </w:rPr>
            <w:t>8</w:t>
          </w:r>
          <w:r w:rsidR="00A8397F">
            <w:rPr>
              <w:rFonts w:cs="Arial"/>
              <w:sz w:val="22"/>
            </w:rPr>
            <w:t>7</w:t>
          </w:r>
          <w:r w:rsidRPr="007A47D8">
            <w:rPr>
              <w:rFonts w:cs="Arial"/>
              <w:sz w:val="22"/>
            </w:rPr>
            <w:t>-002</w:t>
          </w:r>
          <w:r w:rsidR="00A8397F">
            <w:rPr>
              <w:rFonts w:cs="Arial"/>
              <w:sz w:val="22"/>
            </w:rPr>
            <w:t>0</w:t>
          </w:r>
        </w:p>
      </w:tc>
      <w:tc>
        <w:tcPr>
          <w:tcW w:w="720" w:type="dxa"/>
          <w:tcBorders>
            <w:left w:val="single" w:sz="6" w:space="0" w:color="auto"/>
            <w:bottom w:val="single" w:sz="6" w:space="0" w:color="auto"/>
            <w:right w:val="single" w:sz="6" w:space="0" w:color="auto"/>
          </w:tcBorders>
          <w:vAlign w:val="center"/>
        </w:tcPr>
        <w:p w14:paraId="2A74FFB7" w14:textId="77777777" w:rsidR="00AC33DE" w:rsidRPr="007A47D8" w:rsidRDefault="00AC33DE" w:rsidP="00FA17C3">
          <w:pPr>
            <w:tabs>
              <w:tab w:val="left" w:pos="-720"/>
              <w:tab w:val="left" w:pos="26563"/>
            </w:tabs>
            <w:suppressAutoHyphens/>
            <w:rPr>
              <w:rFonts w:cs="Arial"/>
              <w:sz w:val="16"/>
            </w:rPr>
          </w:pPr>
          <w:r w:rsidRPr="007A47D8">
            <w:rPr>
              <w:rFonts w:cs="Arial"/>
              <w:sz w:val="16"/>
            </w:rPr>
            <w:t>REV.</w:t>
          </w:r>
        </w:p>
        <w:p w14:paraId="6582C7D3" w14:textId="5529E6CC" w:rsidR="00AC33DE" w:rsidRPr="00596325" w:rsidRDefault="00A8397F" w:rsidP="0028169D">
          <w:pPr>
            <w:pStyle w:val="TOAHeading"/>
            <w:tabs>
              <w:tab w:val="clear" w:pos="9360"/>
              <w:tab w:val="left" w:pos="-720"/>
            </w:tabs>
            <w:rPr>
              <w:rFonts w:ascii="Arial" w:hAnsi="Arial" w:cs="Arial"/>
              <w:sz w:val="22"/>
            </w:rPr>
          </w:pPr>
          <w:r>
            <w:rPr>
              <w:rFonts w:ascii="Arial" w:hAnsi="Arial" w:cs="Arial"/>
              <w:sz w:val="22"/>
            </w:rPr>
            <w:t>P</w:t>
          </w:r>
          <w:r w:rsidR="00426DF8">
            <w:rPr>
              <w:rFonts w:ascii="Arial" w:hAnsi="Arial" w:cs="Arial"/>
              <w:sz w:val="22"/>
            </w:rPr>
            <w:t>1</w:t>
          </w:r>
        </w:p>
      </w:tc>
    </w:tr>
  </w:tbl>
  <w:p w14:paraId="23813704" w14:textId="77777777" w:rsidR="00AC33DE" w:rsidRDefault="00AC3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333BB"/>
    <w:multiLevelType w:val="hybridMultilevel"/>
    <w:tmpl w:val="E1749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65BAD"/>
    <w:multiLevelType w:val="multilevel"/>
    <w:tmpl w:val="2110AB30"/>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E00B8C"/>
    <w:multiLevelType w:val="multilevel"/>
    <w:tmpl w:val="EC0658D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2160" w:hanging="1080"/>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6E11F8C"/>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76407B"/>
    <w:multiLevelType w:val="hybridMultilevel"/>
    <w:tmpl w:val="BA5E3C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F1AD3"/>
    <w:multiLevelType w:val="multilevel"/>
    <w:tmpl w:val="D43A5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E5454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46D56E1"/>
    <w:multiLevelType w:val="hybridMultilevel"/>
    <w:tmpl w:val="871E0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C200B"/>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CF40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C36653"/>
    <w:multiLevelType w:val="hybridMultilevel"/>
    <w:tmpl w:val="93B88E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426E00"/>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5543202"/>
    <w:multiLevelType w:val="multilevel"/>
    <w:tmpl w:val="B4BE4D6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1224" w:hanging="504"/>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2160" w:hanging="1080"/>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C831B8"/>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0AE2F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7D65C5"/>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8A55F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600032"/>
    <w:multiLevelType w:val="hybridMultilevel"/>
    <w:tmpl w:val="4C328E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1D097D"/>
    <w:multiLevelType w:val="multilevel"/>
    <w:tmpl w:val="3BE2AE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8C320EC"/>
    <w:multiLevelType w:val="multilevel"/>
    <w:tmpl w:val="4C969EA2"/>
    <w:lvl w:ilvl="0">
      <w:start w:val="1"/>
      <w:numFmt w:val="decimal"/>
      <w:suff w:val="space"/>
      <w:lvlText w:val="%1."/>
      <w:lvlJc w:val="left"/>
      <w:pPr>
        <w:ind w:left="360" w:hanging="360"/>
      </w:pPr>
      <w:rPr>
        <w:rFonts w:hint="default"/>
      </w:rPr>
    </w:lvl>
    <w:lvl w:ilvl="1">
      <w:start w:val="1"/>
      <w:numFmt w:val="bullet"/>
      <w:lvlText w:val=""/>
      <w:lvlJc w:val="left"/>
      <w:pPr>
        <w:ind w:left="792" w:hanging="432"/>
      </w:pPr>
      <w:rPr>
        <w:rFonts w:ascii="Symbol" w:hAnsi="Symbol"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224" w:hanging="504"/>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2160" w:hanging="1080"/>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FC7C9D"/>
    <w:multiLevelType w:val="hybridMultilevel"/>
    <w:tmpl w:val="C85AD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858A9"/>
    <w:multiLevelType w:val="hybridMultilevel"/>
    <w:tmpl w:val="41CEFB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82E6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6A6273"/>
    <w:multiLevelType w:val="hybridMultilevel"/>
    <w:tmpl w:val="255EF3B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E237A1C"/>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0401078"/>
    <w:multiLevelType w:val="multilevel"/>
    <w:tmpl w:val="9E3A950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1C15428"/>
    <w:multiLevelType w:val="multilevel"/>
    <w:tmpl w:val="20281E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48B57B5"/>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A7F240A"/>
    <w:multiLevelType w:val="multilevel"/>
    <w:tmpl w:val="38FEE97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2160" w:hanging="1080"/>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66606647">
    <w:abstractNumId w:val="19"/>
  </w:num>
  <w:num w:numId="2" w16cid:durableId="1436052613">
    <w:abstractNumId w:val="5"/>
  </w:num>
  <w:num w:numId="3" w16cid:durableId="137646809">
    <w:abstractNumId w:val="0"/>
  </w:num>
  <w:num w:numId="4" w16cid:durableId="1641378383">
    <w:abstractNumId w:val="28"/>
  </w:num>
  <w:num w:numId="5" w16cid:durableId="1736967872">
    <w:abstractNumId w:val="25"/>
  </w:num>
  <w:num w:numId="6" w16cid:durableId="1653484124">
    <w:abstractNumId w:val="16"/>
  </w:num>
  <w:num w:numId="7" w16cid:durableId="1758020701">
    <w:abstractNumId w:val="12"/>
  </w:num>
  <w:num w:numId="8" w16cid:durableId="1026369364">
    <w:abstractNumId w:val="14"/>
  </w:num>
  <w:num w:numId="9" w16cid:durableId="1886284222">
    <w:abstractNumId w:val="9"/>
  </w:num>
  <w:num w:numId="10" w16cid:durableId="128404655">
    <w:abstractNumId w:val="4"/>
  </w:num>
  <w:num w:numId="11" w16cid:durableId="1866669578">
    <w:abstractNumId w:val="7"/>
  </w:num>
  <w:num w:numId="12" w16cid:durableId="1326588766">
    <w:abstractNumId w:val="29"/>
  </w:num>
  <w:num w:numId="13" w16cid:durableId="83034733">
    <w:abstractNumId w:val="3"/>
  </w:num>
  <w:num w:numId="14" w16cid:durableId="9365209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8431042">
    <w:abstractNumId w:val="10"/>
  </w:num>
  <w:num w:numId="16" w16cid:durableId="437799578">
    <w:abstractNumId w:val="11"/>
  </w:num>
  <w:num w:numId="17" w16cid:durableId="648947976">
    <w:abstractNumId w:val="17"/>
  </w:num>
  <w:num w:numId="18" w16cid:durableId="1081869949">
    <w:abstractNumId w:val="23"/>
  </w:num>
  <w:num w:numId="19" w16cid:durableId="58485394">
    <w:abstractNumId w:val="24"/>
  </w:num>
  <w:num w:numId="20" w16cid:durableId="369844775">
    <w:abstractNumId w:val="18"/>
  </w:num>
  <w:num w:numId="21" w16cid:durableId="1542815657">
    <w:abstractNumId w:val="6"/>
  </w:num>
  <w:num w:numId="22" w16cid:durableId="189102435">
    <w:abstractNumId w:val="22"/>
  </w:num>
  <w:num w:numId="23" w16cid:durableId="2047025959">
    <w:abstractNumId w:val="15"/>
  </w:num>
  <w:num w:numId="24" w16cid:durableId="1090813590">
    <w:abstractNumId w:val="26"/>
  </w:num>
  <w:num w:numId="25" w16cid:durableId="646209632">
    <w:abstractNumId w:val="29"/>
    <w:lvlOverride w:ilvl="0">
      <w:startOverride w:val="5"/>
    </w:lvlOverride>
    <w:lvlOverride w:ilvl="1">
      <w:startOverride w:val="8"/>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78987063">
    <w:abstractNumId w:val="27"/>
  </w:num>
  <w:num w:numId="27" w16cid:durableId="54669904">
    <w:abstractNumId w:val="2"/>
  </w:num>
  <w:num w:numId="28" w16cid:durableId="327485643">
    <w:abstractNumId w:val="1"/>
  </w:num>
  <w:num w:numId="29" w16cid:durableId="1527865934">
    <w:abstractNumId w:val="8"/>
  </w:num>
  <w:num w:numId="30" w16cid:durableId="390274584">
    <w:abstractNumId w:val="13"/>
  </w:num>
  <w:num w:numId="31" w16cid:durableId="884561910">
    <w:abstractNumId w:val="21"/>
  </w:num>
  <w:num w:numId="32" w16cid:durableId="644160566">
    <w:abstractNumId w:val="20"/>
  </w:num>
  <w:num w:numId="33" w16cid:durableId="10522670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25"/>
    <w:rsid w:val="00001BB0"/>
    <w:rsid w:val="00003DAF"/>
    <w:rsid w:val="00005059"/>
    <w:rsid w:val="00005411"/>
    <w:rsid w:val="00005AD5"/>
    <w:rsid w:val="00005DEB"/>
    <w:rsid w:val="00012123"/>
    <w:rsid w:val="000139E9"/>
    <w:rsid w:val="00014E43"/>
    <w:rsid w:val="00017C79"/>
    <w:rsid w:val="00017F55"/>
    <w:rsid w:val="00022FFB"/>
    <w:rsid w:val="00026306"/>
    <w:rsid w:val="00026DD3"/>
    <w:rsid w:val="00030A02"/>
    <w:rsid w:val="00032573"/>
    <w:rsid w:val="0004446F"/>
    <w:rsid w:val="000449F7"/>
    <w:rsid w:val="00045A84"/>
    <w:rsid w:val="0005113C"/>
    <w:rsid w:val="00066720"/>
    <w:rsid w:val="00067524"/>
    <w:rsid w:val="0007037A"/>
    <w:rsid w:val="000746E2"/>
    <w:rsid w:val="000768D8"/>
    <w:rsid w:val="00076AFC"/>
    <w:rsid w:val="00077DE4"/>
    <w:rsid w:val="000809A9"/>
    <w:rsid w:val="00081D62"/>
    <w:rsid w:val="0008423F"/>
    <w:rsid w:val="00085973"/>
    <w:rsid w:val="0008642A"/>
    <w:rsid w:val="0008683A"/>
    <w:rsid w:val="00090777"/>
    <w:rsid w:val="000912EB"/>
    <w:rsid w:val="00092B8A"/>
    <w:rsid w:val="000978D9"/>
    <w:rsid w:val="00097C8C"/>
    <w:rsid w:val="000A35E2"/>
    <w:rsid w:val="000A4152"/>
    <w:rsid w:val="000A454F"/>
    <w:rsid w:val="000A5EA3"/>
    <w:rsid w:val="000B0D33"/>
    <w:rsid w:val="000B3C7A"/>
    <w:rsid w:val="000C463E"/>
    <w:rsid w:val="000C50E8"/>
    <w:rsid w:val="000C5DEE"/>
    <w:rsid w:val="000C61EE"/>
    <w:rsid w:val="000D1821"/>
    <w:rsid w:val="000D1A29"/>
    <w:rsid w:val="000D2718"/>
    <w:rsid w:val="000D4775"/>
    <w:rsid w:val="000D6F46"/>
    <w:rsid w:val="000E2637"/>
    <w:rsid w:val="000E36A1"/>
    <w:rsid w:val="000E4946"/>
    <w:rsid w:val="000F025D"/>
    <w:rsid w:val="000F0D57"/>
    <w:rsid w:val="000F34A1"/>
    <w:rsid w:val="000F383F"/>
    <w:rsid w:val="000F514D"/>
    <w:rsid w:val="000F6FA5"/>
    <w:rsid w:val="001006CF"/>
    <w:rsid w:val="00100954"/>
    <w:rsid w:val="00102DE3"/>
    <w:rsid w:val="00104231"/>
    <w:rsid w:val="0010427F"/>
    <w:rsid w:val="0010538D"/>
    <w:rsid w:val="00110857"/>
    <w:rsid w:val="001109AB"/>
    <w:rsid w:val="00112A40"/>
    <w:rsid w:val="0011738D"/>
    <w:rsid w:val="0012117E"/>
    <w:rsid w:val="001217A8"/>
    <w:rsid w:val="0012240B"/>
    <w:rsid w:val="00124DB4"/>
    <w:rsid w:val="00132AC8"/>
    <w:rsid w:val="00137227"/>
    <w:rsid w:val="0014058F"/>
    <w:rsid w:val="001410C5"/>
    <w:rsid w:val="00141F24"/>
    <w:rsid w:val="001425C7"/>
    <w:rsid w:val="001457B9"/>
    <w:rsid w:val="0014770D"/>
    <w:rsid w:val="0015123D"/>
    <w:rsid w:val="001519AE"/>
    <w:rsid w:val="00152B95"/>
    <w:rsid w:val="001574BC"/>
    <w:rsid w:val="001602DC"/>
    <w:rsid w:val="00163A98"/>
    <w:rsid w:val="00167623"/>
    <w:rsid w:val="00173C6D"/>
    <w:rsid w:val="00174796"/>
    <w:rsid w:val="001860C6"/>
    <w:rsid w:val="001861E5"/>
    <w:rsid w:val="00187CF4"/>
    <w:rsid w:val="001920E3"/>
    <w:rsid w:val="00192F3B"/>
    <w:rsid w:val="00194CC8"/>
    <w:rsid w:val="00196780"/>
    <w:rsid w:val="001A1274"/>
    <w:rsid w:val="001A3171"/>
    <w:rsid w:val="001A4313"/>
    <w:rsid w:val="001A53D6"/>
    <w:rsid w:val="001A57E0"/>
    <w:rsid w:val="001A79A4"/>
    <w:rsid w:val="001B0E98"/>
    <w:rsid w:val="001B30C8"/>
    <w:rsid w:val="001B589C"/>
    <w:rsid w:val="001B6CDA"/>
    <w:rsid w:val="001C0563"/>
    <w:rsid w:val="001C079F"/>
    <w:rsid w:val="001C08EB"/>
    <w:rsid w:val="001C1874"/>
    <w:rsid w:val="001C196F"/>
    <w:rsid w:val="001C2DB0"/>
    <w:rsid w:val="001C354D"/>
    <w:rsid w:val="001C7813"/>
    <w:rsid w:val="001D4AF4"/>
    <w:rsid w:val="001D76E0"/>
    <w:rsid w:val="001E3BF4"/>
    <w:rsid w:val="001E62E9"/>
    <w:rsid w:val="001F2344"/>
    <w:rsid w:val="001F309D"/>
    <w:rsid w:val="001F4140"/>
    <w:rsid w:val="001F421C"/>
    <w:rsid w:val="001F43E7"/>
    <w:rsid w:val="001F4BFD"/>
    <w:rsid w:val="001F71AC"/>
    <w:rsid w:val="002045D3"/>
    <w:rsid w:val="00207043"/>
    <w:rsid w:val="00210188"/>
    <w:rsid w:val="0021018F"/>
    <w:rsid w:val="00210314"/>
    <w:rsid w:val="00211FC9"/>
    <w:rsid w:val="002133AF"/>
    <w:rsid w:val="00215CD7"/>
    <w:rsid w:val="002214D7"/>
    <w:rsid w:val="002220A4"/>
    <w:rsid w:val="002231B8"/>
    <w:rsid w:val="0022345C"/>
    <w:rsid w:val="00224366"/>
    <w:rsid w:val="00225A2B"/>
    <w:rsid w:val="00230A4F"/>
    <w:rsid w:val="0024145A"/>
    <w:rsid w:val="00241D7E"/>
    <w:rsid w:val="0024372F"/>
    <w:rsid w:val="00244F83"/>
    <w:rsid w:val="00245DA4"/>
    <w:rsid w:val="0024681B"/>
    <w:rsid w:val="00246962"/>
    <w:rsid w:val="00247FF8"/>
    <w:rsid w:val="00255536"/>
    <w:rsid w:val="00255A6E"/>
    <w:rsid w:val="00261120"/>
    <w:rsid w:val="002625C3"/>
    <w:rsid w:val="002626F9"/>
    <w:rsid w:val="00262E3B"/>
    <w:rsid w:val="00262F3F"/>
    <w:rsid w:val="00265B64"/>
    <w:rsid w:val="00265CDF"/>
    <w:rsid w:val="002670F0"/>
    <w:rsid w:val="00272705"/>
    <w:rsid w:val="00272EDF"/>
    <w:rsid w:val="0028169D"/>
    <w:rsid w:val="0029740B"/>
    <w:rsid w:val="002A5DF0"/>
    <w:rsid w:val="002A718A"/>
    <w:rsid w:val="002B084B"/>
    <w:rsid w:val="002B7A2E"/>
    <w:rsid w:val="002B7AFA"/>
    <w:rsid w:val="002C2ADA"/>
    <w:rsid w:val="002C391A"/>
    <w:rsid w:val="002C4CE8"/>
    <w:rsid w:val="002C727D"/>
    <w:rsid w:val="002C73D0"/>
    <w:rsid w:val="002D0223"/>
    <w:rsid w:val="002D184C"/>
    <w:rsid w:val="002D2E02"/>
    <w:rsid w:val="002D4AE1"/>
    <w:rsid w:val="002D5B0A"/>
    <w:rsid w:val="002D66F5"/>
    <w:rsid w:val="002E2F12"/>
    <w:rsid w:val="002E659A"/>
    <w:rsid w:val="002E78CE"/>
    <w:rsid w:val="002E7B06"/>
    <w:rsid w:val="002F4433"/>
    <w:rsid w:val="002F75F5"/>
    <w:rsid w:val="00303944"/>
    <w:rsid w:val="00304BEC"/>
    <w:rsid w:val="0030528F"/>
    <w:rsid w:val="003057E3"/>
    <w:rsid w:val="00306D94"/>
    <w:rsid w:val="003140C0"/>
    <w:rsid w:val="0031445E"/>
    <w:rsid w:val="003149C0"/>
    <w:rsid w:val="00315FE4"/>
    <w:rsid w:val="00316A1F"/>
    <w:rsid w:val="003206F5"/>
    <w:rsid w:val="003208C1"/>
    <w:rsid w:val="00321F33"/>
    <w:rsid w:val="003235B7"/>
    <w:rsid w:val="00324A2A"/>
    <w:rsid w:val="00324E2B"/>
    <w:rsid w:val="00325FD5"/>
    <w:rsid w:val="00333A48"/>
    <w:rsid w:val="00336CD6"/>
    <w:rsid w:val="00340DAB"/>
    <w:rsid w:val="003411EF"/>
    <w:rsid w:val="00342E0A"/>
    <w:rsid w:val="00344DED"/>
    <w:rsid w:val="00356194"/>
    <w:rsid w:val="0036003A"/>
    <w:rsid w:val="00361884"/>
    <w:rsid w:val="00361E00"/>
    <w:rsid w:val="003630E7"/>
    <w:rsid w:val="00363812"/>
    <w:rsid w:val="00364E10"/>
    <w:rsid w:val="00374FBE"/>
    <w:rsid w:val="00375C67"/>
    <w:rsid w:val="003771CF"/>
    <w:rsid w:val="0038071D"/>
    <w:rsid w:val="003824EC"/>
    <w:rsid w:val="00384582"/>
    <w:rsid w:val="00385B98"/>
    <w:rsid w:val="00392892"/>
    <w:rsid w:val="00397D14"/>
    <w:rsid w:val="003A090C"/>
    <w:rsid w:val="003A09DE"/>
    <w:rsid w:val="003A132A"/>
    <w:rsid w:val="003A16B1"/>
    <w:rsid w:val="003A3E98"/>
    <w:rsid w:val="003B11AF"/>
    <w:rsid w:val="003B1915"/>
    <w:rsid w:val="003B5E4B"/>
    <w:rsid w:val="003B5FE8"/>
    <w:rsid w:val="003B6CF7"/>
    <w:rsid w:val="003C3240"/>
    <w:rsid w:val="003C3928"/>
    <w:rsid w:val="003C3D66"/>
    <w:rsid w:val="003C4788"/>
    <w:rsid w:val="003C61FE"/>
    <w:rsid w:val="003C62B8"/>
    <w:rsid w:val="003C64BC"/>
    <w:rsid w:val="003C6A8C"/>
    <w:rsid w:val="003C6AA9"/>
    <w:rsid w:val="003D284B"/>
    <w:rsid w:val="003D2D0E"/>
    <w:rsid w:val="003D3C59"/>
    <w:rsid w:val="003D5052"/>
    <w:rsid w:val="003D6088"/>
    <w:rsid w:val="003D6836"/>
    <w:rsid w:val="003E119E"/>
    <w:rsid w:val="003E416C"/>
    <w:rsid w:val="003E67AD"/>
    <w:rsid w:val="003F0CCA"/>
    <w:rsid w:val="003F2653"/>
    <w:rsid w:val="003F280A"/>
    <w:rsid w:val="003F37BF"/>
    <w:rsid w:val="003F5DC9"/>
    <w:rsid w:val="00402041"/>
    <w:rsid w:val="004023CD"/>
    <w:rsid w:val="004033AE"/>
    <w:rsid w:val="00403A48"/>
    <w:rsid w:val="00404D1F"/>
    <w:rsid w:val="0041077F"/>
    <w:rsid w:val="00410841"/>
    <w:rsid w:val="00413BA6"/>
    <w:rsid w:val="00416769"/>
    <w:rsid w:val="00416935"/>
    <w:rsid w:val="004224BC"/>
    <w:rsid w:val="00424C57"/>
    <w:rsid w:val="00426DF8"/>
    <w:rsid w:val="004315BD"/>
    <w:rsid w:val="004334B0"/>
    <w:rsid w:val="00433C6A"/>
    <w:rsid w:val="00435D52"/>
    <w:rsid w:val="0043719C"/>
    <w:rsid w:val="004371CC"/>
    <w:rsid w:val="00441E18"/>
    <w:rsid w:val="004423F2"/>
    <w:rsid w:val="004423F9"/>
    <w:rsid w:val="00443AB7"/>
    <w:rsid w:val="00447A26"/>
    <w:rsid w:val="00451C6E"/>
    <w:rsid w:val="004537A8"/>
    <w:rsid w:val="00453C78"/>
    <w:rsid w:val="00454EE8"/>
    <w:rsid w:val="00455EA4"/>
    <w:rsid w:val="00457CB2"/>
    <w:rsid w:val="00464008"/>
    <w:rsid w:val="00466B17"/>
    <w:rsid w:val="00472929"/>
    <w:rsid w:val="00472F09"/>
    <w:rsid w:val="00473272"/>
    <w:rsid w:val="00473691"/>
    <w:rsid w:val="0047569C"/>
    <w:rsid w:val="00476824"/>
    <w:rsid w:val="0048184C"/>
    <w:rsid w:val="00484207"/>
    <w:rsid w:val="00484546"/>
    <w:rsid w:val="00487EC7"/>
    <w:rsid w:val="004918AA"/>
    <w:rsid w:val="0049259E"/>
    <w:rsid w:val="00492DC9"/>
    <w:rsid w:val="004962CE"/>
    <w:rsid w:val="00497122"/>
    <w:rsid w:val="004A1308"/>
    <w:rsid w:val="004A58B5"/>
    <w:rsid w:val="004A6AFF"/>
    <w:rsid w:val="004A713F"/>
    <w:rsid w:val="004A74C1"/>
    <w:rsid w:val="004B05A7"/>
    <w:rsid w:val="004B43D2"/>
    <w:rsid w:val="004C04DB"/>
    <w:rsid w:val="004C2DCD"/>
    <w:rsid w:val="004C3A91"/>
    <w:rsid w:val="004C584B"/>
    <w:rsid w:val="004C638C"/>
    <w:rsid w:val="004D3A83"/>
    <w:rsid w:val="004D7F2E"/>
    <w:rsid w:val="004E1880"/>
    <w:rsid w:val="004E5398"/>
    <w:rsid w:val="004E5423"/>
    <w:rsid w:val="004F0453"/>
    <w:rsid w:val="004F131A"/>
    <w:rsid w:val="004F1C49"/>
    <w:rsid w:val="004F2407"/>
    <w:rsid w:val="004F791C"/>
    <w:rsid w:val="00500A5B"/>
    <w:rsid w:val="00501CC8"/>
    <w:rsid w:val="005029BD"/>
    <w:rsid w:val="0050368C"/>
    <w:rsid w:val="00507BBC"/>
    <w:rsid w:val="00507F3B"/>
    <w:rsid w:val="00521B77"/>
    <w:rsid w:val="0052494B"/>
    <w:rsid w:val="00530D98"/>
    <w:rsid w:val="00534AD0"/>
    <w:rsid w:val="0053542C"/>
    <w:rsid w:val="005356BC"/>
    <w:rsid w:val="005356E3"/>
    <w:rsid w:val="0054072F"/>
    <w:rsid w:val="00543E26"/>
    <w:rsid w:val="005515A4"/>
    <w:rsid w:val="00554604"/>
    <w:rsid w:val="00556CA2"/>
    <w:rsid w:val="0055759A"/>
    <w:rsid w:val="00560295"/>
    <w:rsid w:val="00560FFA"/>
    <w:rsid w:val="00561CD3"/>
    <w:rsid w:val="00562953"/>
    <w:rsid w:val="00565146"/>
    <w:rsid w:val="005660A7"/>
    <w:rsid w:val="0057023E"/>
    <w:rsid w:val="00570781"/>
    <w:rsid w:val="0057120E"/>
    <w:rsid w:val="00576604"/>
    <w:rsid w:val="00580527"/>
    <w:rsid w:val="00581EB8"/>
    <w:rsid w:val="00582F2E"/>
    <w:rsid w:val="00584142"/>
    <w:rsid w:val="00584188"/>
    <w:rsid w:val="00585101"/>
    <w:rsid w:val="0058635B"/>
    <w:rsid w:val="00586CDA"/>
    <w:rsid w:val="0059332B"/>
    <w:rsid w:val="00595E67"/>
    <w:rsid w:val="00596325"/>
    <w:rsid w:val="005A37F9"/>
    <w:rsid w:val="005A5021"/>
    <w:rsid w:val="005A53B3"/>
    <w:rsid w:val="005A53C5"/>
    <w:rsid w:val="005A5565"/>
    <w:rsid w:val="005A59DD"/>
    <w:rsid w:val="005A61E7"/>
    <w:rsid w:val="005A6302"/>
    <w:rsid w:val="005B50B4"/>
    <w:rsid w:val="005C0D6B"/>
    <w:rsid w:val="005C25EA"/>
    <w:rsid w:val="005C5E7F"/>
    <w:rsid w:val="005C6D80"/>
    <w:rsid w:val="005D017C"/>
    <w:rsid w:val="005D227F"/>
    <w:rsid w:val="005D4AB1"/>
    <w:rsid w:val="005E5433"/>
    <w:rsid w:val="005E651F"/>
    <w:rsid w:val="005F038A"/>
    <w:rsid w:val="005F38A9"/>
    <w:rsid w:val="005F42AE"/>
    <w:rsid w:val="005F7AA6"/>
    <w:rsid w:val="006048BA"/>
    <w:rsid w:val="00604C2D"/>
    <w:rsid w:val="00606014"/>
    <w:rsid w:val="006125EC"/>
    <w:rsid w:val="00612B99"/>
    <w:rsid w:val="00612BD9"/>
    <w:rsid w:val="00616C22"/>
    <w:rsid w:val="006210BE"/>
    <w:rsid w:val="00621440"/>
    <w:rsid w:val="00622DA1"/>
    <w:rsid w:val="0062561D"/>
    <w:rsid w:val="006257C7"/>
    <w:rsid w:val="00631847"/>
    <w:rsid w:val="00632D28"/>
    <w:rsid w:val="006342A2"/>
    <w:rsid w:val="006354D4"/>
    <w:rsid w:val="006368DB"/>
    <w:rsid w:val="006413D0"/>
    <w:rsid w:val="00643E96"/>
    <w:rsid w:val="00645148"/>
    <w:rsid w:val="006451D2"/>
    <w:rsid w:val="00650702"/>
    <w:rsid w:val="0065185B"/>
    <w:rsid w:val="00653139"/>
    <w:rsid w:val="00653A5D"/>
    <w:rsid w:val="00653FE4"/>
    <w:rsid w:val="006541F2"/>
    <w:rsid w:val="00657CCA"/>
    <w:rsid w:val="0066096A"/>
    <w:rsid w:val="00664893"/>
    <w:rsid w:val="006658E0"/>
    <w:rsid w:val="00673125"/>
    <w:rsid w:val="0067574B"/>
    <w:rsid w:val="00677924"/>
    <w:rsid w:val="006832D8"/>
    <w:rsid w:val="00685EA3"/>
    <w:rsid w:val="00686E1D"/>
    <w:rsid w:val="00690FED"/>
    <w:rsid w:val="00691AE3"/>
    <w:rsid w:val="00691B00"/>
    <w:rsid w:val="006921BF"/>
    <w:rsid w:val="006934E9"/>
    <w:rsid w:val="00694C7B"/>
    <w:rsid w:val="006A1529"/>
    <w:rsid w:val="006A49F7"/>
    <w:rsid w:val="006A5BF6"/>
    <w:rsid w:val="006A6501"/>
    <w:rsid w:val="006B0606"/>
    <w:rsid w:val="006B4D96"/>
    <w:rsid w:val="006B630D"/>
    <w:rsid w:val="006B6311"/>
    <w:rsid w:val="006C0F1B"/>
    <w:rsid w:val="006C1735"/>
    <w:rsid w:val="006C7E71"/>
    <w:rsid w:val="006D2247"/>
    <w:rsid w:val="006D4658"/>
    <w:rsid w:val="006D5D07"/>
    <w:rsid w:val="006D6F93"/>
    <w:rsid w:val="006E1C36"/>
    <w:rsid w:val="006E63D8"/>
    <w:rsid w:val="006E76A0"/>
    <w:rsid w:val="006F4E23"/>
    <w:rsid w:val="006F5513"/>
    <w:rsid w:val="007018E2"/>
    <w:rsid w:val="00701FFF"/>
    <w:rsid w:val="00702E98"/>
    <w:rsid w:val="00703658"/>
    <w:rsid w:val="00704F9A"/>
    <w:rsid w:val="00705EF8"/>
    <w:rsid w:val="00711A0D"/>
    <w:rsid w:val="00712356"/>
    <w:rsid w:val="007148C0"/>
    <w:rsid w:val="00714DC2"/>
    <w:rsid w:val="007177CB"/>
    <w:rsid w:val="00717844"/>
    <w:rsid w:val="0072024B"/>
    <w:rsid w:val="00721E66"/>
    <w:rsid w:val="00723067"/>
    <w:rsid w:val="00724E67"/>
    <w:rsid w:val="00726532"/>
    <w:rsid w:val="0072668E"/>
    <w:rsid w:val="00730256"/>
    <w:rsid w:val="00732C01"/>
    <w:rsid w:val="00733F16"/>
    <w:rsid w:val="0073474C"/>
    <w:rsid w:val="00734B33"/>
    <w:rsid w:val="007360CD"/>
    <w:rsid w:val="007368F6"/>
    <w:rsid w:val="00736B91"/>
    <w:rsid w:val="007405C6"/>
    <w:rsid w:val="00740849"/>
    <w:rsid w:val="00742499"/>
    <w:rsid w:val="00743D3A"/>
    <w:rsid w:val="00747318"/>
    <w:rsid w:val="00750CFA"/>
    <w:rsid w:val="0075106B"/>
    <w:rsid w:val="0075192B"/>
    <w:rsid w:val="00757F5E"/>
    <w:rsid w:val="00760423"/>
    <w:rsid w:val="00760E92"/>
    <w:rsid w:val="007646EF"/>
    <w:rsid w:val="007673BF"/>
    <w:rsid w:val="007710A7"/>
    <w:rsid w:val="00774D6E"/>
    <w:rsid w:val="00776FEF"/>
    <w:rsid w:val="00784261"/>
    <w:rsid w:val="0078615E"/>
    <w:rsid w:val="00786C63"/>
    <w:rsid w:val="00790342"/>
    <w:rsid w:val="007933E2"/>
    <w:rsid w:val="00794785"/>
    <w:rsid w:val="0079527F"/>
    <w:rsid w:val="00795838"/>
    <w:rsid w:val="007A04CC"/>
    <w:rsid w:val="007A47D8"/>
    <w:rsid w:val="007A4BDE"/>
    <w:rsid w:val="007A673F"/>
    <w:rsid w:val="007B01AE"/>
    <w:rsid w:val="007B0A2F"/>
    <w:rsid w:val="007C4DE1"/>
    <w:rsid w:val="007C63C1"/>
    <w:rsid w:val="007C7F6A"/>
    <w:rsid w:val="007D0DD7"/>
    <w:rsid w:val="007D29B2"/>
    <w:rsid w:val="007D4B60"/>
    <w:rsid w:val="007E3031"/>
    <w:rsid w:val="007E5930"/>
    <w:rsid w:val="007F0C5B"/>
    <w:rsid w:val="007F267F"/>
    <w:rsid w:val="007F513F"/>
    <w:rsid w:val="00806295"/>
    <w:rsid w:val="0082087C"/>
    <w:rsid w:val="00822365"/>
    <w:rsid w:val="00825E54"/>
    <w:rsid w:val="00827F0F"/>
    <w:rsid w:val="0083136A"/>
    <w:rsid w:val="008334CA"/>
    <w:rsid w:val="0083436A"/>
    <w:rsid w:val="008446C8"/>
    <w:rsid w:val="0084742F"/>
    <w:rsid w:val="00851073"/>
    <w:rsid w:val="00851EE0"/>
    <w:rsid w:val="00854A6D"/>
    <w:rsid w:val="00856F61"/>
    <w:rsid w:val="00860BD4"/>
    <w:rsid w:val="00865A81"/>
    <w:rsid w:val="00866103"/>
    <w:rsid w:val="00870225"/>
    <w:rsid w:val="00870E8B"/>
    <w:rsid w:val="0087245D"/>
    <w:rsid w:val="008726D9"/>
    <w:rsid w:val="008736DE"/>
    <w:rsid w:val="00875D8F"/>
    <w:rsid w:val="00875E1E"/>
    <w:rsid w:val="008770B6"/>
    <w:rsid w:val="00880478"/>
    <w:rsid w:val="00883AE5"/>
    <w:rsid w:val="00884AA2"/>
    <w:rsid w:val="0088716C"/>
    <w:rsid w:val="00887BE9"/>
    <w:rsid w:val="00890423"/>
    <w:rsid w:val="00891E3F"/>
    <w:rsid w:val="008924C2"/>
    <w:rsid w:val="008935DD"/>
    <w:rsid w:val="00895DD1"/>
    <w:rsid w:val="008A08B1"/>
    <w:rsid w:val="008A1089"/>
    <w:rsid w:val="008A251D"/>
    <w:rsid w:val="008A2FD4"/>
    <w:rsid w:val="008A3D1D"/>
    <w:rsid w:val="008B25DA"/>
    <w:rsid w:val="008B623D"/>
    <w:rsid w:val="008B6B01"/>
    <w:rsid w:val="008C015A"/>
    <w:rsid w:val="008C0B81"/>
    <w:rsid w:val="008C0E53"/>
    <w:rsid w:val="008C4FA0"/>
    <w:rsid w:val="008C5DDA"/>
    <w:rsid w:val="008D0152"/>
    <w:rsid w:val="008D550A"/>
    <w:rsid w:val="008D5B9C"/>
    <w:rsid w:val="008E040A"/>
    <w:rsid w:val="008E0773"/>
    <w:rsid w:val="008E1BFB"/>
    <w:rsid w:val="008E44A2"/>
    <w:rsid w:val="008E5656"/>
    <w:rsid w:val="008E572E"/>
    <w:rsid w:val="008F3FD5"/>
    <w:rsid w:val="0090224D"/>
    <w:rsid w:val="0090252F"/>
    <w:rsid w:val="009031B0"/>
    <w:rsid w:val="00903393"/>
    <w:rsid w:val="0090481E"/>
    <w:rsid w:val="00911B07"/>
    <w:rsid w:val="00913C41"/>
    <w:rsid w:val="009173C9"/>
    <w:rsid w:val="00920432"/>
    <w:rsid w:val="00922CB0"/>
    <w:rsid w:val="0092366B"/>
    <w:rsid w:val="00923A54"/>
    <w:rsid w:val="009243EE"/>
    <w:rsid w:val="00930632"/>
    <w:rsid w:val="00933DB4"/>
    <w:rsid w:val="00935B1F"/>
    <w:rsid w:val="00935BFD"/>
    <w:rsid w:val="00936DCE"/>
    <w:rsid w:val="00944D54"/>
    <w:rsid w:val="0094532A"/>
    <w:rsid w:val="00946E0B"/>
    <w:rsid w:val="00952DD8"/>
    <w:rsid w:val="00953495"/>
    <w:rsid w:val="009559D1"/>
    <w:rsid w:val="00956B44"/>
    <w:rsid w:val="00967C90"/>
    <w:rsid w:val="00971753"/>
    <w:rsid w:val="0097616D"/>
    <w:rsid w:val="00980A45"/>
    <w:rsid w:val="00981F95"/>
    <w:rsid w:val="00990753"/>
    <w:rsid w:val="00990B71"/>
    <w:rsid w:val="00995F59"/>
    <w:rsid w:val="00996BA8"/>
    <w:rsid w:val="009A2345"/>
    <w:rsid w:val="009A2DB6"/>
    <w:rsid w:val="009A31A4"/>
    <w:rsid w:val="009A5408"/>
    <w:rsid w:val="009A613A"/>
    <w:rsid w:val="009A6770"/>
    <w:rsid w:val="009B4634"/>
    <w:rsid w:val="009B6C42"/>
    <w:rsid w:val="009C0946"/>
    <w:rsid w:val="009C13E5"/>
    <w:rsid w:val="009C1BE9"/>
    <w:rsid w:val="009C6842"/>
    <w:rsid w:val="009C7B93"/>
    <w:rsid w:val="009D1E6A"/>
    <w:rsid w:val="009E01EB"/>
    <w:rsid w:val="009E4AF3"/>
    <w:rsid w:val="009F4349"/>
    <w:rsid w:val="009F6818"/>
    <w:rsid w:val="00A005F3"/>
    <w:rsid w:val="00A04234"/>
    <w:rsid w:val="00A0588B"/>
    <w:rsid w:val="00A0730F"/>
    <w:rsid w:val="00A12A58"/>
    <w:rsid w:val="00A146D4"/>
    <w:rsid w:val="00A17341"/>
    <w:rsid w:val="00A17C58"/>
    <w:rsid w:val="00A20F69"/>
    <w:rsid w:val="00A26CBE"/>
    <w:rsid w:val="00A272BF"/>
    <w:rsid w:val="00A275A8"/>
    <w:rsid w:val="00A31D57"/>
    <w:rsid w:val="00A32D1F"/>
    <w:rsid w:val="00A3470F"/>
    <w:rsid w:val="00A37E01"/>
    <w:rsid w:val="00A4285F"/>
    <w:rsid w:val="00A42D99"/>
    <w:rsid w:val="00A43201"/>
    <w:rsid w:val="00A43380"/>
    <w:rsid w:val="00A45994"/>
    <w:rsid w:val="00A46F03"/>
    <w:rsid w:val="00A4721C"/>
    <w:rsid w:val="00A501BD"/>
    <w:rsid w:val="00A50819"/>
    <w:rsid w:val="00A53A44"/>
    <w:rsid w:val="00A5604B"/>
    <w:rsid w:val="00A60986"/>
    <w:rsid w:val="00A611D8"/>
    <w:rsid w:val="00A6274A"/>
    <w:rsid w:val="00A65C10"/>
    <w:rsid w:val="00A7362A"/>
    <w:rsid w:val="00A750ED"/>
    <w:rsid w:val="00A756E6"/>
    <w:rsid w:val="00A764B3"/>
    <w:rsid w:val="00A81315"/>
    <w:rsid w:val="00A8397F"/>
    <w:rsid w:val="00A8511B"/>
    <w:rsid w:val="00A85D7A"/>
    <w:rsid w:val="00A87114"/>
    <w:rsid w:val="00A87974"/>
    <w:rsid w:val="00A9154B"/>
    <w:rsid w:val="00A93283"/>
    <w:rsid w:val="00A96475"/>
    <w:rsid w:val="00AA1A20"/>
    <w:rsid w:val="00AA2535"/>
    <w:rsid w:val="00AA2B5E"/>
    <w:rsid w:val="00AA2E11"/>
    <w:rsid w:val="00AA32C3"/>
    <w:rsid w:val="00AA4FE0"/>
    <w:rsid w:val="00AA614A"/>
    <w:rsid w:val="00AA72D9"/>
    <w:rsid w:val="00AA7C6E"/>
    <w:rsid w:val="00AB4CE4"/>
    <w:rsid w:val="00AB4FC5"/>
    <w:rsid w:val="00AC32FC"/>
    <w:rsid w:val="00AC33DE"/>
    <w:rsid w:val="00AC3A0B"/>
    <w:rsid w:val="00AC6236"/>
    <w:rsid w:val="00AC780F"/>
    <w:rsid w:val="00AD062E"/>
    <w:rsid w:val="00AD0949"/>
    <w:rsid w:val="00AD132C"/>
    <w:rsid w:val="00AD247D"/>
    <w:rsid w:val="00AD6701"/>
    <w:rsid w:val="00AD6EF5"/>
    <w:rsid w:val="00AE045D"/>
    <w:rsid w:val="00AE133E"/>
    <w:rsid w:val="00AE185A"/>
    <w:rsid w:val="00AE2903"/>
    <w:rsid w:val="00AF0C99"/>
    <w:rsid w:val="00AF0F3D"/>
    <w:rsid w:val="00AF7C05"/>
    <w:rsid w:val="00B03389"/>
    <w:rsid w:val="00B033C3"/>
    <w:rsid w:val="00B05A03"/>
    <w:rsid w:val="00B07250"/>
    <w:rsid w:val="00B14B94"/>
    <w:rsid w:val="00B15783"/>
    <w:rsid w:val="00B157D2"/>
    <w:rsid w:val="00B15E83"/>
    <w:rsid w:val="00B17588"/>
    <w:rsid w:val="00B2186D"/>
    <w:rsid w:val="00B22F45"/>
    <w:rsid w:val="00B24429"/>
    <w:rsid w:val="00B2710E"/>
    <w:rsid w:val="00B31361"/>
    <w:rsid w:val="00B349A7"/>
    <w:rsid w:val="00B36EF7"/>
    <w:rsid w:val="00B43D24"/>
    <w:rsid w:val="00B54A52"/>
    <w:rsid w:val="00B56A6B"/>
    <w:rsid w:val="00B60FFF"/>
    <w:rsid w:val="00B62ABB"/>
    <w:rsid w:val="00B64305"/>
    <w:rsid w:val="00B678F5"/>
    <w:rsid w:val="00B73216"/>
    <w:rsid w:val="00B75BB2"/>
    <w:rsid w:val="00B77196"/>
    <w:rsid w:val="00B77D60"/>
    <w:rsid w:val="00B85496"/>
    <w:rsid w:val="00B85DBD"/>
    <w:rsid w:val="00B918DB"/>
    <w:rsid w:val="00B94950"/>
    <w:rsid w:val="00B9668B"/>
    <w:rsid w:val="00BA02BE"/>
    <w:rsid w:val="00BA1EBB"/>
    <w:rsid w:val="00BA7F1A"/>
    <w:rsid w:val="00BB2A38"/>
    <w:rsid w:val="00BB5609"/>
    <w:rsid w:val="00BB57E1"/>
    <w:rsid w:val="00BB67A7"/>
    <w:rsid w:val="00BB6DE0"/>
    <w:rsid w:val="00BC02A3"/>
    <w:rsid w:val="00BC18BD"/>
    <w:rsid w:val="00BC1A91"/>
    <w:rsid w:val="00BC38D9"/>
    <w:rsid w:val="00BC4B8F"/>
    <w:rsid w:val="00BC64C6"/>
    <w:rsid w:val="00BC797D"/>
    <w:rsid w:val="00BD58DF"/>
    <w:rsid w:val="00BD5A8B"/>
    <w:rsid w:val="00BE06FB"/>
    <w:rsid w:val="00BE1720"/>
    <w:rsid w:val="00BE2947"/>
    <w:rsid w:val="00BE2E82"/>
    <w:rsid w:val="00BE3299"/>
    <w:rsid w:val="00BE435B"/>
    <w:rsid w:val="00BE6A14"/>
    <w:rsid w:val="00BF036E"/>
    <w:rsid w:val="00BF1637"/>
    <w:rsid w:val="00BF770F"/>
    <w:rsid w:val="00C05B5E"/>
    <w:rsid w:val="00C07933"/>
    <w:rsid w:val="00C079BB"/>
    <w:rsid w:val="00C115E9"/>
    <w:rsid w:val="00C143E1"/>
    <w:rsid w:val="00C20FBD"/>
    <w:rsid w:val="00C24611"/>
    <w:rsid w:val="00C24618"/>
    <w:rsid w:val="00C258E8"/>
    <w:rsid w:val="00C26813"/>
    <w:rsid w:val="00C27F60"/>
    <w:rsid w:val="00C3044A"/>
    <w:rsid w:val="00C45598"/>
    <w:rsid w:val="00C46562"/>
    <w:rsid w:val="00C4691F"/>
    <w:rsid w:val="00C51339"/>
    <w:rsid w:val="00C517F1"/>
    <w:rsid w:val="00C52F66"/>
    <w:rsid w:val="00C53F1A"/>
    <w:rsid w:val="00C56717"/>
    <w:rsid w:val="00C609A7"/>
    <w:rsid w:val="00C6223E"/>
    <w:rsid w:val="00C62C9C"/>
    <w:rsid w:val="00C64FEE"/>
    <w:rsid w:val="00C67CF4"/>
    <w:rsid w:val="00C706DA"/>
    <w:rsid w:val="00C75949"/>
    <w:rsid w:val="00C76AB8"/>
    <w:rsid w:val="00C770F0"/>
    <w:rsid w:val="00C80F14"/>
    <w:rsid w:val="00C8482E"/>
    <w:rsid w:val="00C8666C"/>
    <w:rsid w:val="00C87083"/>
    <w:rsid w:val="00C91CFE"/>
    <w:rsid w:val="00C9314C"/>
    <w:rsid w:val="00C93342"/>
    <w:rsid w:val="00C933E2"/>
    <w:rsid w:val="00C958B1"/>
    <w:rsid w:val="00CA0FBC"/>
    <w:rsid w:val="00CA1609"/>
    <w:rsid w:val="00CA270D"/>
    <w:rsid w:val="00CA2E6A"/>
    <w:rsid w:val="00CA5271"/>
    <w:rsid w:val="00CB110A"/>
    <w:rsid w:val="00CB1284"/>
    <w:rsid w:val="00CB23B2"/>
    <w:rsid w:val="00CB3BD7"/>
    <w:rsid w:val="00CC581A"/>
    <w:rsid w:val="00CC6C78"/>
    <w:rsid w:val="00CC7070"/>
    <w:rsid w:val="00CD11CF"/>
    <w:rsid w:val="00CD2740"/>
    <w:rsid w:val="00CD2EEB"/>
    <w:rsid w:val="00CD625E"/>
    <w:rsid w:val="00CD6DA3"/>
    <w:rsid w:val="00CE4105"/>
    <w:rsid w:val="00CE66C2"/>
    <w:rsid w:val="00CF27B6"/>
    <w:rsid w:val="00D0136E"/>
    <w:rsid w:val="00D02BDE"/>
    <w:rsid w:val="00D03AD2"/>
    <w:rsid w:val="00D10430"/>
    <w:rsid w:val="00D10C97"/>
    <w:rsid w:val="00D10F05"/>
    <w:rsid w:val="00D14989"/>
    <w:rsid w:val="00D151A7"/>
    <w:rsid w:val="00D157A6"/>
    <w:rsid w:val="00D20B20"/>
    <w:rsid w:val="00D23B81"/>
    <w:rsid w:val="00D261F5"/>
    <w:rsid w:val="00D30A18"/>
    <w:rsid w:val="00D30C86"/>
    <w:rsid w:val="00D40748"/>
    <w:rsid w:val="00D42B98"/>
    <w:rsid w:val="00D450E8"/>
    <w:rsid w:val="00D47C9C"/>
    <w:rsid w:val="00D517CF"/>
    <w:rsid w:val="00D52FD1"/>
    <w:rsid w:val="00D548F0"/>
    <w:rsid w:val="00D56279"/>
    <w:rsid w:val="00D610CD"/>
    <w:rsid w:val="00D625F0"/>
    <w:rsid w:val="00D62F2D"/>
    <w:rsid w:val="00D67EBF"/>
    <w:rsid w:val="00D71D4E"/>
    <w:rsid w:val="00D7205A"/>
    <w:rsid w:val="00D723F5"/>
    <w:rsid w:val="00D76D08"/>
    <w:rsid w:val="00D80B42"/>
    <w:rsid w:val="00D81015"/>
    <w:rsid w:val="00D835EF"/>
    <w:rsid w:val="00D85D8C"/>
    <w:rsid w:val="00D8627F"/>
    <w:rsid w:val="00D87204"/>
    <w:rsid w:val="00D92355"/>
    <w:rsid w:val="00D95D16"/>
    <w:rsid w:val="00DA0256"/>
    <w:rsid w:val="00DA1546"/>
    <w:rsid w:val="00DA2699"/>
    <w:rsid w:val="00DA2EBE"/>
    <w:rsid w:val="00DA4C09"/>
    <w:rsid w:val="00DB1481"/>
    <w:rsid w:val="00DB57E0"/>
    <w:rsid w:val="00DC3C3A"/>
    <w:rsid w:val="00DC5596"/>
    <w:rsid w:val="00DC756C"/>
    <w:rsid w:val="00DD1FD8"/>
    <w:rsid w:val="00DD2809"/>
    <w:rsid w:val="00DD47E0"/>
    <w:rsid w:val="00DD5FFA"/>
    <w:rsid w:val="00DE393E"/>
    <w:rsid w:val="00DE65DF"/>
    <w:rsid w:val="00DF00FD"/>
    <w:rsid w:val="00DF171E"/>
    <w:rsid w:val="00DF2613"/>
    <w:rsid w:val="00DF5A50"/>
    <w:rsid w:val="00DF5F41"/>
    <w:rsid w:val="00E01E3E"/>
    <w:rsid w:val="00E038DD"/>
    <w:rsid w:val="00E044FB"/>
    <w:rsid w:val="00E051CA"/>
    <w:rsid w:val="00E061A8"/>
    <w:rsid w:val="00E1112B"/>
    <w:rsid w:val="00E11845"/>
    <w:rsid w:val="00E14100"/>
    <w:rsid w:val="00E237A4"/>
    <w:rsid w:val="00E23EEF"/>
    <w:rsid w:val="00E304A3"/>
    <w:rsid w:val="00E326D1"/>
    <w:rsid w:val="00E35D3A"/>
    <w:rsid w:val="00E457F9"/>
    <w:rsid w:val="00E46C92"/>
    <w:rsid w:val="00E50B45"/>
    <w:rsid w:val="00E51FB5"/>
    <w:rsid w:val="00E5222E"/>
    <w:rsid w:val="00E527BD"/>
    <w:rsid w:val="00E624B7"/>
    <w:rsid w:val="00E63734"/>
    <w:rsid w:val="00E67EC4"/>
    <w:rsid w:val="00E7023F"/>
    <w:rsid w:val="00E707B2"/>
    <w:rsid w:val="00E72C57"/>
    <w:rsid w:val="00E73788"/>
    <w:rsid w:val="00E76642"/>
    <w:rsid w:val="00E81231"/>
    <w:rsid w:val="00E83A51"/>
    <w:rsid w:val="00E83C6F"/>
    <w:rsid w:val="00E8617D"/>
    <w:rsid w:val="00E86881"/>
    <w:rsid w:val="00E86A56"/>
    <w:rsid w:val="00E9121E"/>
    <w:rsid w:val="00E92C52"/>
    <w:rsid w:val="00E97E4B"/>
    <w:rsid w:val="00EA1DF3"/>
    <w:rsid w:val="00EA2558"/>
    <w:rsid w:val="00EA4E8B"/>
    <w:rsid w:val="00EA5D15"/>
    <w:rsid w:val="00EA71D0"/>
    <w:rsid w:val="00EB02DA"/>
    <w:rsid w:val="00EB032F"/>
    <w:rsid w:val="00EB6C36"/>
    <w:rsid w:val="00EC09B2"/>
    <w:rsid w:val="00EC120B"/>
    <w:rsid w:val="00EC6F3C"/>
    <w:rsid w:val="00ED085D"/>
    <w:rsid w:val="00ED0B7B"/>
    <w:rsid w:val="00ED5943"/>
    <w:rsid w:val="00EE1C2A"/>
    <w:rsid w:val="00EE76FC"/>
    <w:rsid w:val="00EE7BFF"/>
    <w:rsid w:val="00EF04D0"/>
    <w:rsid w:val="00EF371F"/>
    <w:rsid w:val="00EF6490"/>
    <w:rsid w:val="00EF6AD9"/>
    <w:rsid w:val="00F00523"/>
    <w:rsid w:val="00F00765"/>
    <w:rsid w:val="00F02858"/>
    <w:rsid w:val="00F10DC9"/>
    <w:rsid w:val="00F15C02"/>
    <w:rsid w:val="00F1667B"/>
    <w:rsid w:val="00F2061E"/>
    <w:rsid w:val="00F21FCF"/>
    <w:rsid w:val="00F23BDB"/>
    <w:rsid w:val="00F23E07"/>
    <w:rsid w:val="00F2440D"/>
    <w:rsid w:val="00F24B3D"/>
    <w:rsid w:val="00F257CC"/>
    <w:rsid w:val="00F25DB0"/>
    <w:rsid w:val="00F3153E"/>
    <w:rsid w:val="00F337CD"/>
    <w:rsid w:val="00F40BFB"/>
    <w:rsid w:val="00F428FC"/>
    <w:rsid w:val="00F43A14"/>
    <w:rsid w:val="00F454C3"/>
    <w:rsid w:val="00F51D98"/>
    <w:rsid w:val="00F54A45"/>
    <w:rsid w:val="00F55ED4"/>
    <w:rsid w:val="00F602CE"/>
    <w:rsid w:val="00F60447"/>
    <w:rsid w:val="00F60556"/>
    <w:rsid w:val="00F62420"/>
    <w:rsid w:val="00F62ACA"/>
    <w:rsid w:val="00F637E3"/>
    <w:rsid w:val="00F7213D"/>
    <w:rsid w:val="00F73AC7"/>
    <w:rsid w:val="00F7674C"/>
    <w:rsid w:val="00F867AF"/>
    <w:rsid w:val="00F87A65"/>
    <w:rsid w:val="00F94ADC"/>
    <w:rsid w:val="00FA0241"/>
    <w:rsid w:val="00FA0DDD"/>
    <w:rsid w:val="00FA17C3"/>
    <w:rsid w:val="00FA3502"/>
    <w:rsid w:val="00FA4376"/>
    <w:rsid w:val="00FB09E3"/>
    <w:rsid w:val="00FB29C5"/>
    <w:rsid w:val="00FB4DCE"/>
    <w:rsid w:val="00FB53FC"/>
    <w:rsid w:val="00FC3325"/>
    <w:rsid w:val="00FC4769"/>
    <w:rsid w:val="00FC4CB4"/>
    <w:rsid w:val="00FC4CF2"/>
    <w:rsid w:val="00FC5C2F"/>
    <w:rsid w:val="00FC7CBA"/>
    <w:rsid w:val="00FD22A6"/>
    <w:rsid w:val="00FD284D"/>
    <w:rsid w:val="00FD2C57"/>
    <w:rsid w:val="00FD3BBF"/>
    <w:rsid w:val="00FD4CEE"/>
    <w:rsid w:val="00FD530A"/>
    <w:rsid w:val="00FD6A6C"/>
    <w:rsid w:val="00FD7F6E"/>
    <w:rsid w:val="00FE102A"/>
    <w:rsid w:val="00FE1082"/>
    <w:rsid w:val="00FE5C09"/>
    <w:rsid w:val="00FF5249"/>
    <w:rsid w:val="00FF5C2A"/>
    <w:rsid w:val="00FF7C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A8CF4F"/>
  <w15:docId w15:val="{6D88F8F0-8459-456A-A559-60D427D6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74C"/>
    <w:rPr>
      <w:rFonts w:eastAsia="Times New Roman" w:cs="Times New Roman"/>
    </w:rPr>
  </w:style>
  <w:style w:type="paragraph" w:styleId="Heading1">
    <w:name w:val="heading 1"/>
    <w:basedOn w:val="Normal"/>
    <w:next w:val="Normal"/>
    <w:link w:val="Heading1Char"/>
    <w:autoRedefine/>
    <w:uiPriority w:val="9"/>
    <w:qFormat/>
    <w:rsid w:val="00B77D60"/>
    <w:pPr>
      <w:keepNext/>
      <w:keepLines/>
      <w:pageBreakBefore/>
      <w:numPr>
        <w:numId w:val="30"/>
      </w:numPr>
      <w:spacing w:before="120" w:after="120"/>
      <w:outlineLvl w:val="0"/>
    </w:pPr>
    <w:rPr>
      <w:rFonts w:asciiTheme="majorHAnsi" w:eastAsiaTheme="majorEastAsia" w:hAnsiTheme="majorHAnsi" w:cstheme="majorBidi"/>
      <w:bCs/>
      <w:szCs w:val="32"/>
    </w:rPr>
  </w:style>
  <w:style w:type="paragraph" w:styleId="Heading2">
    <w:name w:val="heading 2"/>
    <w:basedOn w:val="Normal"/>
    <w:next w:val="Normal"/>
    <w:link w:val="Heading2Char"/>
    <w:uiPriority w:val="9"/>
    <w:unhideWhenUsed/>
    <w:qFormat/>
    <w:rsid w:val="00B77D60"/>
    <w:pPr>
      <w:keepNext/>
      <w:keepLines/>
      <w:numPr>
        <w:ilvl w:val="1"/>
        <w:numId w:val="30"/>
      </w:numPr>
      <w:spacing w:before="120"/>
      <w:ind w:left="446"/>
      <w:outlineLvl w:val="1"/>
    </w:pPr>
    <w:rPr>
      <w:rFonts w:asciiTheme="majorHAnsi" w:eastAsiaTheme="majorEastAsia" w:hAnsiTheme="majorHAnsi" w:cstheme="majorBidi"/>
      <w:bCs/>
      <w:szCs w:val="26"/>
    </w:rPr>
  </w:style>
  <w:style w:type="paragraph" w:styleId="Heading3">
    <w:name w:val="heading 3"/>
    <w:basedOn w:val="ListParagraph"/>
    <w:next w:val="Normal"/>
    <w:link w:val="Heading3Char"/>
    <w:uiPriority w:val="9"/>
    <w:unhideWhenUsed/>
    <w:qFormat/>
    <w:rsid w:val="00B77D60"/>
    <w:pPr>
      <w:numPr>
        <w:ilvl w:val="2"/>
        <w:numId w:val="30"/>
      </w:numPr>
      <w:spacing w:before="120"/>
      <w:ind w:left="547"/>
      <w:contextualSpacing w:val="0"/>
      <w:outlineLvl w:val="2"/>
    </w:pPr>
  </w:style>
  <w:style w:type="paragraph" w:styleId="Heading4">
    <w:name w:val="heading 4"/>
    <w:basedOn w:val="ListParagraph"/>
    <w:next w:val="Normal"/>
    <w:link w:val="Heading4Char"/>
    <w:uiPriority w:val="9"/>
    <w:unhideWhenUsed/>
    <w:qFormat/>
    <w:rsid w:val="0022345C"/>
    <w:pPr>
      <w:numPr>
        <w:ilvl w:val="3"/>
        <w:numId w:val="30"/>
      </w:numPr>
      <w:spacing w:after="120"/>
      <w:ind w:left="1710"/>
      <w:contextualSpacing w:val="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60"/>
    <w:rPr>
      <w:rFonts w:asciiTheme="majorHAnsi" w:eastAsiaTheme="majorEastAsia" w:hAnsiTheme="majorHAnsi" w:cstheme="majorBidi"/>
      <w:bCs/>
      <w:szCs w:val="32"/>
    </w:rPr>
  </w:style>
  <w:style w:type="paragraph" w:styleId="Header">
    <w:name w:val="header"/>
    <w:basedOn w:val="Normal"/>
    <w:link w:val="HeaderChar"/>
    <w:uiPriority w:val="99"/>
    <w:unhideWhenUsed/>
    <w:rsid w:val="00596325"/>
    <w:pPr>
      <w:tabs>
        <w:tab w:val="center" w:pos="4320"/>
        <w:tab w:val="right" w:pos="8640"/>
      </w:tabs>
    </w:pPr>
    <w:rPr>
      <w:rFonts w:eastAsiaTheme="minorEastAsia" w:cstheme="minorBidi"/>
    </w:rPr>
  </w:style>
  <w:style w:type="character" w:customStyle="1" w:styleId="HeaderChar">
    <w:name w:val="Header Char"/>
    <w:basedOn w:val="DefaultParagraphFont"/>
    <w:link w:val="Header"/>
    <w:uiPriority w:val="99"/>
    <w:rsid w:val="00596325"/>
  </w:style>
  <w:style w:type="paragraph" w:styleId="Footer">
    <w:name w:val="footer"/>
    <w:basedOn w:val="Normal"/>
    <w:link w:val="FooterChar"/>
    <w:unhideWhenUsed/>
    <w:rsid w:val="00596325"/>
    <w:pPr>
      <w:tabs>
        <w:tab w:val="center" w:pos="4320"/>
        <w:tab w:val="right" w:pos="8640"/>
      </w:tabs>
    </w:pPr>
    <w:rPr>
      <w:rFonts w:eastAsiaTheme="minorEastAsia" w:cstheme="minorBidi"/>
    </w:rPr>
  </w:style>
  <w:style w:type="character" w:customStyle="1" w:styleId="FooterChar">
    <w:name w:val="Footer Char"/>
    <w:basedOn w:val="DefaultParagraphFont"/>
    <w:link w:val="Footer"/>
    <w:uiPriority w:val="99"/>
    <w:rsid w:val="00596325"/>
  </w:style>
  <w:style w:type="paragraph" w:styleId="TOAHeading">
    <w:name w:val="toa heading"/>
    <w:basedOn w:val="Normal"/>
    <w:next w:val="Normal"/>
    <w:semiHidden/>
    <w:rsid w:val="00596325"/>
    <w:pPr>
      <w:widowControl w:val="0"/>
      <w:tabs>
        <w:tab w:val="right" w:pos="9360"/>
      </w:tabs>
      <w:suppressAutoHyphens/>
    </w:pPr>
    <w:rPr>
      <w:rFonts w:ascii="TmsRmn 10pt" w:hAnsi="TmsRmn 10pt"/>
      <w:snapToGrid w:val="0"/>
      <w:sz w:val="20"/>
      <w:szCs w:val="20"/>
    </w:rPr>
  </w:style>
  <w:style w:type="paragraph" w:styleId="BalloonText">
    <w:name w:val="Balloon Text"/>
    <w:basedOn w:val="Normal"/>
    <w:link w:val="BalloonTextChar"/>
    <w:uiPriority w:val="99"/>
    <w:semiHidden/>
    <w:unhideWhenUsed/>
    <w:rsid w:val="005963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325"/>
    <w:rPr>
      <w:rFonts w:ascii="Lucida Grande" w:eastAsia="Times New Roman" w:hAnsi="Lucida Grande" w:cs="Lucida Grande"/>
      <w:sz w:val="18"/>
      <w:szCs w:val="18"/>
    </w:rPr>
  </w:style>
  <w:style w:type="paragraph" w:styleId="ListParagraph">
    <w:name w:val="List Paragraph"/>
    <w:basedOn w:val="Normal"/>
    <w:uiPriority w:val="34"/>
    <w:qFormat/>
    <w:rsid w:val="00596325"/>
    <w:pPr>
      <w:ind w:left="720"/>
      <w:contextualSpacing/>
    </w:pPr>
  </w:style>
  <w:style w:type="character" w:customStyle="1" w:styleId="Heading2Char">
    <w:name w:val="Heading 2 Char"/>
    <w:basedOn w:val="DefaultParagraphFont"/>
    <w:link w:val="Heading2"/>
    <w:uiPriority w:val="9"/>
    <w:rsid w:val="00B77D60"/>
    <w:rPr>
      <w:rFonts w:asciiTheme="majorHAnsi" w:eastAsiaTheme="majorEastAsia" w:hAnsiTheme="majorHAnsi" w:cstheme="majorBidi"/>
      <w:bCs/>
      <w:szCs w:val="26"/>
    </w:rPr>
  </w:style>
  <w:style w:type="character" w:customStyle="1" w:styleId="Heading3Char">
    <w:name w:val="Heading 3 Char"/>
    <w:basedOn w:val="DefaultParagraphFont"/>
    <w:link w:val="Heading3"/>
    <w:uiPriority w:val="9"/>
    <w:rsid w:val="00B77D60"/>
    <w:rPr>
      <w:rFonts w:eastAsia="Times New Roman" w:cs="Times New Roman"/>
    </w:rPr>
  </w:style>
  <w:style w:type="character" w:customStyle="1" w:styleId="Heading4Char">
    <w:name w:val="Heading 4 Char"/>
    <w:basedOn w:val="DefaultParagraphFont"/>
    <w:link w:val="Heading4"/>
    <w:uiPriority w:val="9"/>
    <w:rsid w:val="0022345C"/>
    <w:rPr>
      <w:rFonts w:eastAsia="Times New Roman" w:cs="Times New Roman"/>
    </w:rPr>
  </w:style>
  <w:style w:type="table" w:styleId="TableGrid">
    <w:name w:val="Table Grid"/>
    <w:basedOn w:val="TableNormal"/>
    <w:uiPriority w:val="59"/>
    <w:rsid w:val="008E0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810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026DD3"/>
    <w:pPr>
      <w:numPr>
        <w:numId w:val="0"/>
      </w:numPr>
      <w:spacing w:line="276" w:lineRule="auto"/>
      <w:outlineLvl w:val="9"/>
    </w:pPr>
    <w:rPr>
      <w:sz w:val="28"/>
      <w:szCs w:val="28"/>
    </w:rPr>
  </w:style>
  <w:style w:type="paragraph" w:styleId="TOC1">
    <w:name w:val="toc 1"/>
    <w:basedOn w:val="Normal"/>
    <w:next w:val="Normal"/>
    <w:autoRedefine/>
    <w:uiPriority w:val="39"/>
    <w:unhideWhenUsed/>
    <w:rsid w:val="00A275A8"/>
    <w:pPr>
      <w:spacing w:before="120"/>
    </w:pPr>
    <w:rPr>
      <w:b/>
    </w:rPr>
  </w:style>
  <w:style w:type="paragraph" w:styleId="TOC2">
    <w:name w:val="toc 2"/>
    <w:basedOn w:val="Normal"/>
    <w:next w:val="Normal"/>
    <w:autoRedefine/>
    <w:uiPriority w:val="39"/>
    <w:unhideWhenUsed/>
    <w:rsid w:val="00A275A8"/>
    <w:pPr>
      <w:ind w:left="240"/>
    </w:pPr>
    <w:rPr>
      <w:b/>
      <w:sz w:val="22"/>
      <w:szCs w:val="22"/>
    </w:rPr>
  </w:style>
  <w:style w:type="paragraph" w:styleId="TOC3">
    <w:name w:val="toc 3"/>
    <w:basedOn w:val="Normal"/>
    <w:next w:val="Normal"/>
    <w:autoRedefine/>
    <w:uiPriority w:val="39"/>
    <w:unhideWhenUsed/>
    <w:rsid w:val="00A275A8"/>
    <w:pPr>
      <w:ind w:left="480"/>
    </w:pPr>
    <w:rPr>
      <w:sz w:val="22"/>
      <w:szCs w:val="22"/>
    </w:rPr>
  </w:style>
  <w:style w:type="paragraph" w:styleId="TOC4">
    <w:name w:val="toc 4"/>
    <w:basedOn w:val="Normal"/>
    <w:next w:val="Normal"/>
    <w:autoRedefine/>
    <w:uiPriority w:val="39"/>
    <w:unhideWhenUsed/>
    <w:rsid w:val="00A275A8"/>
    <w:pPr>
      <w:ind w:left="720"/>
    </w:pPr>
    <w:rPr>
      <w:sz w:val="20"/>
      <w:szCs w:val="20"/>
    </w:rPr>
  </w:style>
  <w:style w:type="paragraph" w:styleId="TOC5">
    <w:name w:val="toc 5"/>
    <w:basedOn w:val="Normal"/>
    <w:next w:val="Normal"/>
    <w:autoRedefine/>
    <w:uiPriority w:val="39"/>
    <w:unhideWhenUsed/>
    <w:rsid w:val="00A275A8"/>
    <w:pPr>
      <w:ind w:left="960"/>
    </w:pPr>
    <w:rPr>
      <w:sz w:val="20"/>
      <w:szCs w:val="20"/>
    </w:rPr>
  </w:style>
  <w:style w:type="paragraph" w:styleId="TOC6">
    <w:name w:val="toc 6"/>
    <w:basedOn w:val="Normal"/>
    <w:next w:val="Normal"/>
    <w:autoRedefine/>
    <w:uiPriority w:val="39"/>
    <w:unhideWhenUsed/>
    <w:rsid w:val="00A275A8"/>
    <w:pPr>
      <w:ind w:left="1200"/>
    </w:pPr>
    <w:rPr>
      <w:sz w:val="20"/>
      <w:szCs w:val="20"/>
    </w:rPr>
  </w:style>
  <w:style w:type="paragraph" w:styleId="TOC7">
    <w:name w:val="toc 7"/>
    <w:basedOn w:val="Normal"/>
    <w:next w:val="Normal"/>
    <w:autoRedefine/>
    <w:uiPriority w:val="39"/>
    <w:unhideWhenUsed/>
    <w:rsid w:val="00A275A8"/>
    <w:pPr>
      <w:ind w:left="1440"/>
    </w:pPr>
    <w:rPr>
      <w:sz w:val="20"/>
      <w:szCs w:val="20"/>
    </w:rPr>
  </w:style>
  <w:style w:type="paragraph" w:styleId="TOC8">
    <w:name w:val="toc 8"/>
    <w:basedOn w:val="Normal"/>
    <w:next w:val="Normal"/>
    <w:autoRedefine/>
    <w:uiPriority w:val="39"/>
    <w:unhideWhenUsed/>
    <w:rsid w:val="00A275A8"/>
    <w:pPr>
      <w:ind w:left="1680"/>
    </w:pPr>
    <w:rPr>
      <w:sz w:val="20"/>
      <w:szCs w:val="20"/>
    </w:rPr>
  </w:style>
  <w:style w:type="paragraph" w:styleId="TOC9">
    <w:name w:val="toc 9"/>
    <w:basedOn w:val="Normal"/>
    <w:next w:val="Normal"/>
    <w:autoRedefine/>
    <w:uiPriority w:val="39"/>
    <w:unhideWhenUsed/>
    <w:rsid w:val="00A275A8"/>
    <w:pPr>
      <w:ind w:left="1920"/>
    </w:pPr>
    <w:rPr>
      <w:sz w:val="20"/>
      <w:szCs w:val="20"/>
    </w:rPr>
  </w:style>
  <w:style w:type="character" w:styleId="CommentReference">
    <w:name w:val="annotation reference"/>
    <w:basedOn w:val="DefaultParagraphFont"/>
    <w:uiPriority w:val="99"/>
    <w:semiHidden/>
    <w:unhideWhenUsed/>
    <w:rsid w:val="0028169D"/>
    <w:rPr>
      <w:sz w:val="18"/>
      <w:szCs w:val="18"/>
    </w:rPr>
  </w:style>
  <w:style w:type="paragraph" w:styleId="CommentText">
    <w:name w:val="annotation text"/>
    <w:basedOn w:val="Normal"/>
    <w:link w:val="CommentTextChar"/>
    <w:uiPriority w:val="99"/>
    <w:unhideWhenUsed/>
    <w:rsid w:val="0028169D"/>
  </w:style>
  <w:style w:type="character" w:customStyle="1" w:styleId="CommentTextChar">
    <w:name w:val="Comment Text Char"/>
    <w:basedOn w:val="DefaultParagraphFont"/>
    <w:link w:val="CommentText"/>
    <w:uiPriority w:val="99"/>
    <w:rsid w:val="0028169D"/>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28169D"/>
    <w:rPr>
      <w:b/>
      <w:bCs/>
      <w:sz w:val="20"/>
      <w:szCs w:val="20"/>
    </w:rPr>
  </w:style>
  <w:style w:type="character" w:customStyle="1" w:styleId="CommentSubjectChar">
    <w:name w:val="Comment Subject Char"/>
    <w:basedOn w:val="CommentTextChar"/>
    <w:link w:val="CommentSubject"/>
    <w:uiPriority w:val="99"/>
    <w:semiHidden/>
    <w:rsid w:val="0028169D"/>
    <w:rPr>
      <w:rFonts w:ascii="Times New Roman" w:eastAsia="Times New Roman" w:hAnsi="Times New Roman" w:cs="Times New Roman"/>
      <w:b/>
      <w:bCs/>
      <w:sz w:val="20"/>
      <w:szCs w:val="20"/>
    </w:rPr>
  </w:style>
  <w:style w:type="table" w:styleId="LightShading-Accent1">
    <w:name w:val="Light Shading Accent 1"/>
    <w:basedOn w:val="TableNormal"/>
    <w:uiPriority w:val="60"/>
    <w:rsid w:val="0028169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8169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8169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qFormat/>
    <w:rsid w:val="0028169D"/>
    <w:pPr>
      <w:spacing w:after="200"/>
    </w:pPr>
    <w:rPr>
      <w:rFonts w:eastAsia="MS Mincho"/>
      <w:b/>
      <w:bCs/>
      <w:sz w:val="18"/>
      <w:szCs w:val="18"/>
    </w:rPr>
  </w:style>
  <w:style w:type="paragraph" w:styleId="Title">
    <w:name w:val="Title"/>
    <w:basedOn w:val="Normal"/>
    <w:next w:val="Normal"/>
    <w:link w:val="TitleChar"/>
    <w:uiPriority w:val="10"/>
    <w:qFormat/>
    <w:rsid w:val="002D184C"/>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84C"/>
    <w:rPr>
      <w:rFonts w:asciiTheme="majorHAnsi" w:eastAsiaTheme="majorEastAsia" w:hAnsiTheme="majorHAnsi" w:cstheme="majorBidi"/>
      <w:spacing w:val="-10"/>
      <w:kern w:val="28"/>
      <w:sz w:val="56"/>
      <w:szCs w:val="56"/>
    </w:rPr>
  </w:style>
  <w:style w:type="paragraph" w:styleId="NoSpacing">
    <w:name w:val="No Spacing"/>
    <w:uiPriority w:val="1"/>
    <w:qFormat/>
    <w:rsid w:val="00404D1F"/>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1958">
      <w:bodyDiv w:val="1"/>
      <w:marLeft w:val="0"/>
      <w:marRight w:val="0"/>
      <w:marTop w:val="0"/>
      <w:marBottom w:val="0"/>
      <w:divBdr>
        <w:top w:val="none" w:sz="0" w:space="0" w:color="auto"/>
        <w:left w:val="none" w:sz="0" w:space="0" w:color="auto"/>
        <w:bottom w:val="none" w:sz="0" w:space="0" w:color="auto"/>
        <w:right w:val="none" w:sz="0" w:space="0" w:color="auto"/>
      </w:divBdr>
    </w:div>
    <w:div w:id="631440540">
      <w:bodyDiv w:val="1"/>
      <w:marLeft w:val="0"/>
      <w:marRight w:val="0"/>
      <w:marTop w:val="0"/>
      <w:marBottom w:val="0"/>
      <w:divBdr>
        <w:top w:val="none" w:sz="0" w:space="0" w:color="auto"/>
        <w:left w:val="none" w:sz="0" w:space="0" w:color="auto"/>
        <w:bottom w:val="none" w:sz="0" w:space="0" w:color="auto"/>
        <w:right w:val="none" w:sz="0" w:space="0" w:color="auto"/>
      </w:divBdr>
    </w:div>
    <w:div w:id="1052851256">
      <w:bodyDiv w:val="1"/>
      <w:marLeft w:val="0"/>
      <w:marRight w:val="0"/>
      <w:marTop w:val="0"/>
      <w:marBottom w:val="0"/>
      <w:divBdr>
        <w:top w:val="none" w:sz="0" w:space="0" w:color="auto"/>
        <w:left w:val="none" w:sz="0" w:space="0" w:color="auto"/>
        <w:bottom w:val="none" w:sz="0" w:space="0" w:color="auto"/>
        <w:right w:val="none" w:sz="0" w:space="0" w:color="auto"/>
      </w:divBdr>
    </w:div>
    <w:div w:id="1316374182">
      <w:bodyDiv w:val="1"/>
      <w:marLeft w:val="0"/>
      <w:marRight w:val="0"/>
      <w:marTop w:val="0"/>
      <w:marBottom w:val="0"/>
      <w:divBdr>
        <w:top w:val="none" w:sz="0" w:space="0" w:color="auto"/>
        <w:left w:val="none" w:sz="0" w:space="0" w:color="auto"/>
        <w:bottom w:val="none" w:sz="0" w:space="0" w:color="auto"/>
        <w:right w:val="none" w:sz="0" w:space="0" w:color="auto"/>
      </w:divBdr>
      <w:divsChild>
        <w:div w:id="795371282">
          <w:marLeft w:val="562"/>
          <w:marRight w:val="0"/>
          <w:marTop w:val="0"/>
          <w:marBottom w:val="250"/>
          <w:divBdr>
            <w:top w:val="none" w:sz="0" w:space="0" w:color="auto"/>
            <w:left w:val="none" w:sz="0" w:space="0" w:color="auto"/>
            <w:bottom w:val="none" w:sz="0" w:space="0" w:color="auto"/>
            <w:right w:val="none" w:sz="0" w:space="0" w:color="auto"/>
          </w:divBdr>
        </w:div>
        <w:div w:id="1051808184">
          <w:marLeft w:val="562"/>
          <w:marRight w:val="0"/>
          <w:marTop w:val="0"/>
          <w:marBottom w:val="250"/>
          <w:divBdr>
            <w:top w:val="none" w:sz="0" w:space="0" w:color="auto"/>
            <w:left w:val="none" w:sz="0" w:space="0" w:color="auto"/>
            <w:bottom w:val="none" w:sz="0" w:space="0" w:color="auto"/>
            <w:right w:val="none" w:sz="0" w:space="0" w:color="auto"/>
          </w:divBdr>
        </w:div>
        <w:div w:id="1151677139">
          <w:marLeft w:val="562"/>
          <w:marRight w:val="0"/>
          <w:marTop w:val="0"/>
          <w:marBottom w:val="25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CC">
      <a:majorFont>
        <a:latin typeface="Lato Heavy"/>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508E327-630F-41F8-98BF-9C5C8B24E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Blodgett</dc:creator>
  <cp:keywords/>
  <dc:description/>
  <cp:lastModifiedBy>Stephen Meloni</cp:lastModifiedBy>
  <cp:revision>7</cp:revision>
  <cp:lastPrinted>2013-01-09T21:42:00Z</cp:lastPrinted>
  <dcterms:created xsi:type="dcterms:W3CDTF">2022-08-08T20:26:00Z</dcterms:created>
  <dcterms:modified xsi:type="dcterms:W3CDTF">2022-09-13T13:08:00Z</dcterms:modified>
</cp:coreProperties>
</file>