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F5496"/>
          <w:sz w:val="16"/>
          <w:szCs w:val="16"/>
        </w:rPr>
        <w:t xml:space="preserve">Candidate profile</w:t>
      </w:r>
    </w:p>
    <w:p>
      <w:pPr>
        <w:spacing w:after="70"/>
        <w:jc w:val="left"/>
      </w:pPr>
      <w:r>
        <w:rPr>
          <w:rFonts w:ascii="Calibri Light" w:cs="Calibri Light" w:eastAsia="Calibri Light" w:hAnsi="Calibri Light"/>
          <w:b/>
          <w:bCs/>
          <w:i w:val="false"/>
          <w:iCs w:val="false"/>
          <w:color w:val="2F5496"/>
          <w:sz w:val="34"/>
          <w:szCs w:val="34"/>
        </w:rPr>
        <w:t xml:space="preserve">Senior Quantity Surveyor</w:t>
      </w:r>
    </w:p>
    <w:p>
      <w:pPr>
        <w:spacing w:after="1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5496"/>
          <w:sz w:val="18"/>
          <w:szCs w:val="18"/>
        </w:rPr>
        <w:t xml:space="preserve">Candidate ID: HMJ-AD0A1027</w:t>
      </w:r>
    </w:p>
    <w:p>
      <w:pPr>
        <w:pBdr>
          <w:bottom w:val="single" w:color="9FB4DA" w:sz="3"/>
        </w:pBdr>
        <w:spacing w:after="100" w:before="220"/>
      </w:pPr>
      <w:r>
        <w:rPr>
          <w:rFonts w:ascii="Calibri Light" w:cs="Calibri Light" w:eastAsia="Calibri Light" w:hAnsi="Calibri Light"/>
          <w:b/>
          <w:bCs/>
          <w:color w:val="2F5496"/>
          <w:sz w:val="28"/>
          <w:szCs w:val="28"/>
        </w:rPr>
        <w:t xml:space="preserve">Profile Summary</w:t>
      </w:r>
    </w:p>
    <w:p>
      <w:pPr>
        <w:spacing w:after="1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The candidate is an experienced Senior Quantity Surveyor with 2+ years of relevant experience. Experience spans data centre, pharma, and commercial environments. Recent project exposure includes Pre-construction &amp; cost planning (MEP &amp; CSA), Procurement &amp; tendering, Package strategy, Bid analysis, Negotiation. Qualifications include BSc (Hons) Quantity Surveying &amp; Construction Economics.</w:t>
      </w:r>
    </w:p>
    <w:p>
      <w:pPr>
        <w:pBdr>
          <w:bottom w:val="single" w:color="9FB4DA" w:sz="3"/>
        </w:pBdr>
        <w:spacing w:after="100" w:before="220"/>
      </w:pPr>
      <w:r>
        <w:rPr>
          <w:rFonts w:ascii="Calibri Light" w:cs="Calibri Light" w:eastAsia="Calibri Light" w:hAnsi="Calibri Light"/>
          <w:b/>
          <w:bCs/>
          <w:color w:val="2F5496"/>
          <w:sz w:val="28"/>
          <w:szCs w:val="28"/>
        </w:rPr>
        <w:t xml:space="preserve">Key Skills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Pre-construction &amp; cost planning (MEP &amp; CSA), Procurement &amp; tendering, Package strategy, Bid analysis, Negotiation</w:t>
      </w:r>
    </w:p>
    <w:p>
      <w:pPr>
        <w:pBdr>
          <w:bottom w:val="single" w:color="9FB4DA" w:sz="3"/>
        </w:pBdr>
        <w:spacing w:after="100" w:before="220"/>
      </w:pPr>
      <w:r>
        <w:rPr>
          <w:rFonts w:ascii="Calibri Light" w:cs="Calibri Light" w:eastAsia="Calibri Light" w:hAnsi="Calibri Light"/>
          <w:b/>
          <w:bCs/>
          <w:color w:val="2F5496"/>
          <w:sz w:val="28"/>
          <w:szCs w:val="28"/>
        </w:rPr>
        <w:t xml:space="preserve">Project Experience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Pre-construction &amp; cost planning (MEP &amp; CSA), Procurement &amp; tendering, Package strategy, Bid analysis, Negotiation</w:t>
      </w:r>
    </w:p>
    <w:p>
      <w:pPr>
        <w:pBdr>
          <w:bottom w:val="single" w:color="9FB4DA" w:sz="3"/>
        </w:pBdr>
        <w:spacing w:after="100" w:before="220"/>
      </w:pPr>
      <w:r>
        <w:rPr>
          <w:rFonts w:ascii="Calibri Light" w:cs="Calibri Light" w:eastAsia="Calibri Light" w:hAnsi="Calibri Light"/>
          <w:b/>
          <w:bCs/>
          <w:color w:val="2F5496"/>
          <w:sz w:val="28"/>
          <w:szCs w:val="28"/>
        </w:rPr>
        <w:t xml:space="preserve">Employment History</w:t>
      </w:r>
    </w:p>
    <w:p>
      <w:pPr>
        <w:spacing w:after="3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6"/>
          <w:szCs w:val="26"/>
        </w:rPr>
        <w:t xml:space="preserve">Senior Quantity Surveyor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5496"/>
          <w:sz w:val="18"/>
          <w:szCs w:val="18"/>
        </w:rPr>
        <w:t xml:space="preserve">Apr 2023 - Nov 2023</w:t>
      </w:r>
    </w:p>
    <w:p>
      <w:pPr>
        <w:spacing w:after="80" w:line="33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Commercial lead across Stockholm, Frankfurt and Amsterdam for global cloud providers.</w:t>
      </w:r>
    </w:p>
    <w:p>
      <w:pPr>
        <w:spacing w:after="3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6"/>
          <w:szCs w:val="26"/>
        </w:rPr>
        <w:t xml:space="preserve">Senior Quantity Surveyor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5496"/>
          <w:sz w:val="18"/>
          <w:szCs w:val="18"/>
        </w:rPr>
        <w:t xml:space="preserve">2021 - 2023</w:t>
      </w:r>
    </w:p>
    <w:p>
      <w:pPr>
        <w:spacing w:after="80" w:line="33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Led procurement, package management, change control, and final accounts for mission-critical projects.</w:t>
      </w:r>
    </w:p>
    <w:p>
      <w:pPr>
        <w:pBdr>
          <w:bottom w:val="single" w:color="9FB4DA" w:sz="3"/>
        </w:pBdr>
        <w:spacing w:after="100" w:before="220"/>
      </w:pPr>
      <w:r>
        <w:rPr>
          <w:rFonts w:ascii="Calibri Light" w:cs="Calibri Light" w:eastAsia="Calibri Light" w:hAnsi="Calibri Light"/>
          <w:b/>
          <w:bCs/>
          <w:color w:val="2F5496"/>
          <w:sz w:val="28"/>
          <w:szCs w:val="28"/>
        </w:rPr>
        <w:t xml:space="preserve">Qualifications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BSc (Hons) Quantity Surveying &amp; Construction Economics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1134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FB4DA" w:sz="3"/>
      </w:pBdr>
      <w:spacing w:after="0" w:before="60"/>
      <w:jc w:val="center"/>
    </w:pPr>
    <w:hyperlink w:history="1" r:id="rId7iuf7wwwm-jg6niso3k7-">
      <w:r>
        <w:rPr>
          <w:rStyle w:val="Hyperlink"/>
          <w:rFonts w:ascii="Calibri" w:cs="Calibri" w:eastAsia="Calibri" w:hAnsi="Calibri"/>
          <w:sz w:val="16"/>
          <w:szCs w:val="16"/>
        </w:rPr>
        <w:t xml:space="preserve">info@hmj-global.com</w:t>
      </w:r>
    </w:hyperlink>
    <w:r>
      <w:rPr>
        <w:rFonts w:ascii="Calibri" w:cs="Calibri" w:eastAsia="Calibri" w:hAnsi="Calibri"/>
        <w:color w:val="333333"/>
        <w:sz w:val="16"/>
        <w:szCs w:val="16"/>
      </w:rPr>
      <w:t xml:space="preserve">  |  </w:t>
    </w:r>
    <w:r>
      <w:rPr>
        <w:rFonts w:ascii="Calibri" w:cs="Calibri" w:eastAsia="Calibri" w:hAnsi="Calibri"/>
        <w:color w:val="333333"/>
        <w:sz w:val="16"/>
        <w:szCs w:val="16"/>
      </w:rPr>
      <w:t xml:space="preserve">0800 861 1230</w:t>
    </w:r>
    <w:r>
      <w:rPr>
        <w:rFonts w:ascii="Calibri" w:cs="Calibri" w:eastAsia="Calibri" w:hAnsi="Calibri"/>
        <w:color w:val="333333"/>
        <w:sz w:val="16"/>
        <w:szCs w:val="16"/>
      </w:rPr>
      <w:t xml:space="preserve">  |  </w:t>
    </w:r>
    <w:hyperlink w:history="1" r:id="rIdsz7dmgxq-kyyl_glo5alh">
      <w:r>
        <w:rPr>
          <w:rStyle w:val="Hyperlink"/>
          <w:rFonts w:ascii="Calibri" w:cs="Calibri" w:eastAsia="Calibri" w:hAnsi="Calibri"/>
          <w:sz w:val="16"/>
          <w:szCs w:val="16"/>
        </w:rPr>
        <w:t xml:space="preserve">www.HMJ-Global.com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drawing>
        <wp:inline distT="0" distB="0" distL="0" distR="0">
          <wp:extent cx="1066800" cy="742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742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FB4DA" w:sz="3"/>
      </w:pBdr>
      <w:spacing w:after="40"/>
    </w:pPr>
    <w:r>
      <w:rPr>
        <w:rFonts w:ascii="Calibri" w:cs="Calibri" w:eastAsia="Calibri" w:hAnsi="Calibri"/>
        <w:b/>
        <w:bCs/>
        <w:color w:val="2F5496"/>
        <w:sz w:val="20"/>
        <w:szCs w:val="20"/>
      </w:rPr>
      <w:t xml:space="preserve">HMJ Global | Client-ready candidate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rFonts w:ascii="Calibri Light" w:cs="Calibri Light" w:eastAsia="Calibri Light" w:hAnsi="Calibri Light"/>
      <w:color w:val="2F5496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 Light" w:cs="Calibri Light" w:eastAsia="Calibri Ligh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 Light" w:cs="Calibri Light" w:eastAsia="Calibri Ligh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rPr>
      <w:rFonts w:ascii="Calibri Light" w:cs="Calibri Light" w:eastAsia="Calibri Light" w:hAnsi="Calibri Light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7iuf7wwwm-jg6niso3k7-" Type="http://schemas.openxmlformats.org/officeDocument/2006/relationships/hyperlink" Target="mailto:info@hmj-global.com" TargetMode="External"/><Relationship Id="rIdsz7dmgxq-kyyl_glo5alh" Type="http://schemas.openxmlformats.org/officeDocument/2006/relationships/hyperlink" Target="https://www.HMJ-Glob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2cd55d3ccf9d385f01c6cfc72629362bf951ff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2026-04-20T17:28:32.333Z</dcterms:created>
  <dcterms:modified xsi:type="dcterms:W3CDTF">2026-04-20T17:28:32.333Z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