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left"/>
      </w:pPr>
      <w:r>
        <w:rPr>
          <w:rFonts w:ascii="Calibri" w:cs="Calibri" w:eastAsia="Calibri" w:hAnsi="Calibri"/>
          <w:b/>
          <w:bCs/>
          <w:i w:val="false"/>
          <w:iCs w:val="false"/>
          <w:color w:val="2F5496"/>
          <w:sz w:val="16"/>
          <w:szCs w:val="16"/>
        </w:rPr>
        <w:t xml:space="preserve">Candidate profile</w:t>
      </w:r>
    </w:p>
    <w:p>
      <w:pPr>
        <w:spacing w:after="70"/>
        <w:jc w:val="left"/>
      </w:pPr>
      <w:r>
        <w:rPr>
          <w:rFonts w:ascii="Calibri Light" w:cs="Calibri Light" w:eastAsia="Calibri Light" w:hAnsi="Calibri Light"/>
          <w:b/>
          <w:bCs/>
          <w:i w:val="false"/>
          <w:iCs w:val="false"/>
          <w:color w:val="2F5496"/>
          <w:sz w:val="34"/>
          <w:szCs w:val="34"/>
        </w:rPr>
        <w:t xml:space="preserve">Electrical Project Manager</w:t>
      </w:r>
    </w:p>
    <w:p>
      <w:pPr>
        <w:spacing w:after="180"/>
        <w:jc w:val="left"/>
      </w:pPr>
      <w:r>
        <w:rPr>
          <w:rFonts w:ascii="Calibri" w:cs="Calibri" w:eastAsia="Calibri" w:hAnsi="Calibri"/>
          <w:b w:val="false"/>
          <w:bCs w:val="false"/>
          <w:i w:val="false"/>
          <w:iCs w:val="false"/>
          <w:color w:val="2F5496"/>
          <w:sz w:val="18"/>
          <w:szCs w:val="18"/>
        </w:rPr>
        <w:t xml:space="preserve">Candidate ID: HMJ-430B7889   |   Location: Amsterdam, Netherlands</w:t>
      </w:r>
    </w:p>
    <w:p>
      <w:pPr>
        <w:pBdr>
          <w:bottom w:val="single" w:color="9FB4DA" w:sz="3"/>
        </w:pBdr>
        <w:spacing w:after="100" w:before="220"/>
      </w:pPr>
      <w:r>
        <w:rPr>
          <w:rFonts w:ascii="Calibri Light" w:cs="Calibri Light" w:eastAsia="Calibri Light" w:hAnsi="Calibri Light"/>
          <w:b/>
          <w:bCs/>
          <w:color w:val="2F5496"/>
          <w:sz w:val="28"/>
          <w:szCs w:val="28"/>
        </w:rPr>
        <w:t xml:space="preserve">Profile Summary</w:t>
      </w:r>
    </w:p>
    <w:p>
      <w:pPr>
        <w:spacing w:after="160" w:line="340"/>
        <w:jc w:val="left"/>
      </w:pPr>
      <w:r>
        <w:rPr>
          <w:rFonts w:ascii="Calibri" w:cs="Calibri" w:eastAsia="Calibri" w:hAnsi="Calibri"/>
          <w:b w:val="false"/>
          <w:bCs w:val="false"/>
          <w:i w:val="false"/>
          <w:iCs w:val="false"/>
          <w:color w:val="333333"/>
          <w:sz w:val="24"/>
          <w:szCs w:val="24"/>
        </w:rPr>
        <w:t xml:space="preserve">The candidate is an experienced Electrical Project Manager based in Amsterdam, Netherlands with 8+ years of relevant experience. Experience spans data centre, fit-out, and commissioning environments. Recent project exposure includes Leads brownfield upgrade and commissioning workstreams for live data centre campuses in the Netherlands. Key strengths include Commissioning coordination, Supplier management, Brownfield delivery, and Electrical project delivery. Qualifications include HNC Electrical Engineering and SMSTS.</w:t>
      </w:r>
    </w:p>
    <w:p>
      <w:pPr>
        <w:pBdr>
          <w:bottom w:val="single" w:color="9FB4DA" w:sz="3"/>
        </w:pBdr>
        <w:spacing w:after="100" w:before="220"/>
      </w:pPr>
      <w:r>
        <w:rPr>
          <w:rFonts w:ascii="Calibri Light" w:cs="Calibri Light" w:eastAsia="Calibri Light" w:hAnsi="Calibri Light"/>
          <w:b/>
          <w:bCs/>
          <w:color w:val="2F5496"/>
          <w:sz w:val="28"/>
          <w:szCs w:val="28"/>
        </w:rPr>
        <w:t xml:space="preserve">Key Skills</w:t>
      </w:r>
    </w:p>
    <w:p>
      <w:pPr>
        <w:pStyle w:val="ListParagraph"/>
        <w:numPr>
          <w:ilvl w:val="0"/>
          <w:numId w:val="1"/>
        </w:numPr>
        <w:spacing w:after="90" w:line="300"/>
      </w:pPr>
      <w:r>
        <w:rPr>
          <w:rFonts w:ascii="Calibri" w:cs="Calibri" w:eastAsia="Calibri" w:hAnsi="Calibri"/>
          <w:color w:val="333333"/>
          <w:sz w:val="22"/>
          <w:szCs w:val="22"/>
        </w:rPr>
        <w:t xml:space="preserve">Commissioning coordination</w:t>
      </w:r>
    </w:p>
    <w:p>
      <w:pPr>
        <w:pStyle w:val="ListParagraph"/>
        <w:numPr>
          <w:ilvl w:val="0"/>
          <w:numId w:val="1"/>
        </w:numPr>
        <w:spacing w:after="90" w:line="300"/>
      </w:pPr>
      <w:r>
        <w:rPr>
          <w:rFonts w:ascii="Calibri" w:cs="Calibri" w:eastAsia="Calibri" w:hAnsi="Calibri"/>
          <w:color w:val="333333"/>
          <w:sz w:val="22"/>
          <w:szCs w:val="22"/>
        </w:rPr>
        <w:t xml:space="preserve">Supplier management</w:t>
      </w:r>
    </w:p>
    <w:p>
      <w:pPr>
        <w:pStyle w:val="ListParagraph"/>
        <w:numPr>
          <w:ilvl w:val="0"/>
          <w:numId w:val="1"/>
        </w:numPr>
        <w:spacing w:after="90" w:line="300"/>
      </w:pPr>
      <w:r>
        <w:rPr>
          <w:rFonts w:ascii="Calibri" w:cs="Calibri" w:eastAsia="Calibri" w:hAnsi="Calibri"/>
          <w:color w:val="333333"/>
          <w:sz w:val="22"/>
          <w:szCs w:val="22"/>
        </w:rPr>
        <w:t xml:space="preserve">Brownfield delivery</w:t>
      </w:r>
    </w:p>
    <w:p>
      <w:pPr>
        <w:pStyle w:val="ListParagraph"/>
        <w:numPr>
          <w:ilvl w:val="0"/>
          <w:numId w:val="1"/>
        </w:numPr>
        <w:spacing w:after="90" w:line="300"/>
      </w:pPr>
      <w:r>
        <w:rPr>
          <w:rFonts w:ascii="Calibri" w:cs="Calibri" w:eastAsia="Calibri" w:hAnsi="Calibri"/>
          <w:color w:val="333333"/>
          <w:sz w:val="22"/>
          <w:szCs w:val="22"/>
        </w:rPr>
        <w:t xml:space="preserve">Electrical project delivery</w:t>
      </w:r>
    </w:p>
    <w:p>
      <w:pPr>
        <w:pStyle w:val="ListParagraph"/>
        <w:numPr>
          <w:ilvl w:val="0"/>
          <w:numId w:val="1"/>
        </w:numPr>
        <w:spacing w:after="90" w:line="300"/>
      </w:pPr>
      <w:r>
        <w:rPr>
          <w:rFonts w:ascii="Calibri" w:cs="Calibri" w:eastAsia="Calibri" w:hAnsi="Calibri"/>
          <w:color w:val="333333"/>
          <w:sz w:val="22"/>
          <w:szCs w:val="22"/>
        </w:rPr>
        <w:t xml:space="preserve">Client management</w:t>
      </w:r>
    </w:p>
    <w:p>
      <w:pPr>
        <w:pStyle w:val="ListParagraph"/>
        <w:numPr>
          <w:ilvl w:val="0"/>
          <w:numId w:val="1"/>
        </w:numPr>
        <w:spacing w:after="90" w:line="300"/>
      </w:pPr>
      <w:r>
        <w:rPr>
          <w:rFonts w:ascii="Calibri" w:cs="Calibri" w:eastAsia="Calibri" w:hAnsi="Calibri"/>
          <w:color w:val="333333"/>
          <w:sz w:val="22"/>
          <w:szCs w:val="22"/>
        </w:rPr>
        <w:t xml:space="preserve">MEP coordination</w:t>
      </w:r>
    </w:p>
    <w:p>
      <w:pPr>
        <w:pBdr>
          <w:bottom w:val="single" w:color="9FB4DA" w:sz="3"/>
        </w:pBdr>
        <w:spacing w:after="100" w:before="220"/>
      </w:pPr>
      <w:r>
        <w:rPr>
          <w:rFonts w:ascii="Calibri Light" w:cs="Calibri Light" w:eastAsia="Calibri Light" w:hAnsi="Calibri Light"/>
          <w:b/>
          <w:bCs/>
          <w:color w:val="2F5496"/>
          <w:sz w:val="28"/>
          <w:szCs w:val="28"/>
        </w:rPr>
        <w:t xml:space="preserve">Project Experience</w:t>
      </w:r>
    </w:p>
    <w:p>
      <w:pPr>
        <w:pStyle w:val="ListParagraph"/>
        <w:numPr>
          <w:ilvl w:val="0"/>
          <w:numId w:val="1"/>
        </w:numPr>
        <w:spacing w:after="90" w:line="300"/>
      </w:pPr>
      <w:r>
        <w:rPr>
          <w:rFonts w:ascii="Calibri" w:cs="Calibri" w:eastAsia="Calibri" w:hAnsi="Calibri"/>
          <w:color w:val="333333"/>
          <w:sz w:val="22"/>
          <w:szCs w:val="22"/>
        </w:rPr>
        <w:t xml:space="preserve">Leads brownfield upgrade and commissioning workstreams for live data centre campuses in the Netherlands.</w:t>
      </w:r>
    </w:p>
    <w:p>
      <w:pPr>
        <w:pBdr>
          <w:bottom w:val="single" w:color="9FB4DA" w:sz="3"/>
        </w:pBdr>
        <w:spacing w:after="100" w:before="220"/>
      </w:pPr>
      <w:r>
        <w:rPr>
          <w:rFonts w:ascii="Calibri Light" w:cs="Calibri Light" w:eastAsia="Calibri Light" w:hAnsi="Calibri Light"/>
          <w:b/>
          <w:bCs/>
          <w:color w:val="2F5496"/>
          <w:sz w:val="28"/>
          <w:szCs w:val="28"/>
        </w:rPr>
        <w:t xml:space="preserve">Employment History</w:t>
      </w:r>
    </w:p>
    <w:p>
      <w:pPr>
        <w:spacing w:after="30"/>
        <w:jc w:val="left"/>
      </w:pPr>
      <w:r>
        <w:rPr>
          <w:rFonts w:ascii="Calibri" w:cs="Calibri" w:eastAsia="Calibri" w:hAnsi="Calibri"/>
          <w:b/>
          <w:bCs/>
          <w:i w:val="false"/>
          <w:iCs w:val="false"/>
          <w:color w:val="333333"/>
          <w:sz w:val="26"/>
          <w:szCs w:val="26"/>
        </w:rPr>
        <w:t xml:space="preserve">Electrical Project Manager</w:t>
      </w:r>
    </w:p>
    <w:p>
      <w:pPr>
        <w:spacing w:after="60"/>
        <w:jc w:val="left"/>
      </w:pPr>
      <w:r>
        <w:rPr>
          <w:rFonts w:ascii="Calibri" w:cs="Calibri" w:eastAsia="Calibri" w:hAnsi="Calibri"/>
          <w:b w:val="false"/>
          <w:bCs w:val="false"/>
          <w:i w:val="false"/>
          <w:iCs w:val="false"/>
          <w:color w:val="2F5496"/>
          <w:sz w:val="18"/>
          <w:szCs w:val="18"/>
        </w:rPr>
        <w:t xml:space="preserve">2023 - Present</w:t>
      </w:r>
    </w:p>
    <w:p>
      <w:pPr>
        <w:spacing w:after="80" w:line="330"/>
        <w:jc w:val="left"/>
      </w:pPr>
      <w:r>
        <w:rPr>
          <w:rFonts w:ascii="Calibri" w:cs="Calibri" w:eastAsia="Calibri" w:hAnsi="Calibri"/>
          <w:b w:val="false"/>
          <w:bCs w:val="false"/>
          <w:i w:val="false"/>
          <w:iCs w:val="false"/>
          <w:color w:val="333333"/>
          <w:sz w:val="24"/>
          <w:szCs w:val="24"/>
        </w:rPr>
        <w:t xml:space="preserve">Leads brownfield upgrade and commissioning workstreams for live data centre campuses in the Netherlands.</w:t>
      </w:r>
    </w:p>
    <w:p>
      <w:pPr>
        <w:spacing w:after="30"/>
        <w:jc w:val="left"/>
      </w:pPr>
      <w:r>
        <w:rPr>
          <w:rFonts w:ascii="Calibri" w:cs="Calibri" w:eastAsia="Calibri" w:hAnsi="Calibri"/>
          <w:b/>
          <w:bCs/>
          <w:i w:val="false"/>
          <w:iCs w:val="false"/>
          <w:color w:val="333333"/>
          <w:sz w:val="26"/>
          <w:szCs w:val="26"/>
        </w:rPr>
        <w:t xml:space="preserve">Senior Electrical Engineer</w:t>
      </w:r>
    </w:p>
    <w:p>
      <w:pPr>
        <w:spacing w:after="60"/>
        <w:jc w:val="left"/>
      </w:pPr>
      <w:r>
        <w:rPr>
          <w:rFonts w:ascii="Calibri" w:cs="Calibri" w:eastAsia="Calibri" w:hAnsi="Calibri"/>
          <w:b w:val="false"/>
          <w:bCs w:val="false"/>
          <w:i w:val="false"/>
          <w:iCs w:val="false"/>
          <w:color w:val="2F5496"/>
          <w:sz w:val="18"/>
          <w:szCs w:val="18"/>
        </w:rPr>
        <w:t xml:space="preserve">2020 - 2023</w:t>
      </w:r>
    </w:p>
    <w:p>
      <w:pPr>
        <w:spacing w:after="80" w:line="330"/>
        <w:jc w:val="left"/>
      </w:pPr>
      <w:r>
        <w:rPr>
          <w:rFonts w:ascii="Calibri" w:cs="Calibri" w:eastAsia="Calibri" w:hAnsi="Calibri"/>
          <w:b w:val="false"/>
          <w:bCs w:val="false"/>
          <w:i w:val="false"/>
          <w:iCs w:val="false"/>
          <w:color w:val="333333"/>
          <w:sz w:val="24"/>
          <w:szCs w:val="24"/>
        </w:rPr>
        <w:t xml:space="preserve">Managed package delivery, subcontractors, and QA on hyperscale builds.</w:t>
      </w:r>
    </w:p>
    <w:p>
      <w:pPr>
        <w:pBdr>
          <w:bottom w:val="single" w:color="9FB4DA" w:sz="3"/>
        </w:pBdr>
        <w:spacing w:after="100" w:before="220"/>
      </w:pPr>
      <w:r>
        <w:rPr>
          <w:rFonts w:ascii="Calibri Light" w:cs="Calibri Light" w:eastAsia="Calibri Light" w:hAnsi="Calibri Light"/>
          <w:b/>
          <w:bCs/>
          <w:color w:val="2F5496"/>
          <w:sz w:val="28"/>
          <w:szCs w:val="28"/>
        </w:rPr>
        <w:t xml:space="preserve">Qualifications</w:t>
      </w:r>
    </w:p>
    <w:p>
      <w:pPr>
        <w:pStyle w:val="ListParagraph"/>
        <w:numPr>
          <w:ilvl w:val="0"/>
          <w:numId w:val="1"/>
        </w:numPr>
        <w:spacing w:after="90" w:line="300"/>
      </w:pPr>
      <w:r>
        <w:rPr>
          <w:rFonts w:ascii="Calibri" w:cs="Calibri" w:eastAsia="Calibri" w:hAnsi="Calibri"/>
          <w:color w:val="333333"/>
          <w:sz w:val="22"/>
          <w:szCs w:val="22"/>
        </w:rPr>
        <w:t xml:space="preserve">HNC Electrical Engineering</w:t>
      </w:r>
    </w:p>
    <w:p>
      <w:pPr>
        <w:pStyle w:val="ListParagraph"/>
        <w:numPr>
          <w:ilvl w:val="0"/>
          <w:numId w:val="1"/>
        </w:numPr>
        <w:spacing w:after="90" w:line="300"/>
      </w:pPr>
      <w:r>
        <w:rPr>
          <w:rFonts w:ascii="Calibri" w:cs="Calibri" w:eastAsia="Calibri" w:hAnsi="Calibri"/>
          <w:color w:val="333333"/>
          <w:sz w:val="22"/>
          <w:szCs w:val="22"/>
        </w:rPr>
        <w:t xml:space="preserve">SMSTS</w:t>
      </w:r>
    </w:p>
    <w:sectPr>
      <w:headerReference w:type="default" r:id="rId7"/>
      <w:footerReference w:type="default" r:id="rId8"/>
      <w:pgSz w:w="11906" w:h="16838" w:orient="portrait"/>
      <w:pgMar w:top="1134" w:right="850" w:bottom="1134" w:left="1701" w:header="1134"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B4DA" w:sz="3"/>
      </w:pBdr>
      <w:spacing w:after="0" w:before="60"/>
      <w:jc w:val="center"/>
    </w:pPr>
    <w:hyperlink w:history="1" r:id="rId6mhgnzxvftwr4wl88gldn">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r>
      <w:rPr>
        <w:rFonts w:ascii="Calibri" w:cs="Calibri" w:eastAsia="Calibri" w:hAnsi="Calibri"/>
        <w:color w:val="333333"/>
        <w:sz w:val="16"/>
        <w:szCs w:val="16"/>
      </w:rPr>
      <w:t xml:space="preserve">0800 861 1230</w:t>
    </w:r>
    <w:r>
      <w:rPr>
        <w:rFonts w:ascii="Calibri" w:cs="Calibri" w:eastAsia="Calibri" w:hAnsi="Calibri"/>
        <w:color w:val="333333"/>
        <w:sz w:val="16"/>
        <w:szCs w:val="16"/>
      </w:rPr>
      <w:t xml:space="preserve">  |  </w:t>
    </w:r>
    <w:hyperlink w:history="1" r:id="rId9pmul_g3qrncdpy1oaca3">
      <w:r>
        <w:rPr>
          <w:rStyle w:val="Hyperlink"/>
          <w:rFonts w:ascii="Calibri" w:cs="Calibri" w:eastAsia="Calibri" w:hAnsi="Calibri"/>
          <w:sz w:val="16"/>
          <w:szCs w:val="16"/>
        </w:rPr>
        <w:t xml:space="preserve">www.HMJ-Global.com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drawing>
        <wp:inline distT="0" distB="0" distL="0" distR="0">
          <wp:extent cx="10668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742950"/>
                  </a:xfrm>
                  <a:prstGeom prst="rect">
                    <a:avLst/>
                  </a:prstGeom>
                </pic:spPr>
              </pic:pic>
            </a:graphicData>
          </a:graphic>
        </wp:inline>
      </w:drawing>
    </w:r>
  </w:p>
  <w:p>
    <w:pPr>
      <w:pBdr>
        <w:bottom w:val="single" w:color="9FB4DA" w:sz="3"/>
      </w:pBdr>
      <w:spacing w:after="40"/>
    </w:pPr>
    <w:r>
      <w:rPr>
        <w:rFonts w:ascii="Calibri" w:cs="Calibri" w:eastAsia="Calibri" w:hAnsi="Calibri"/>
        <w:b/>
        <w:bCs/>
        <w:color w:val="2F5496"/>
        <w:sz w:val="20"/>
        <w:szCs w:val="20"/>
      </w:rPr>
      <w:t xml:space="preserve">HMJ Global | Client-ready candidate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docDefaults>
  <w:style w:type="paragraph" w:styleId="Title">
    <w:name w:val="Title"/>
    <w:basedOn w:val="Normal"/>
    <w:next w:val="Normal"/>
    <w:qFormat/>
    <w:rPr>
      <w:rFonts w:ascii="Calibri Light" w:cs="Calibri Light" w:eastAsia="Calibri Light" w:hAnsi="Calibri Light"/>
      <w:color w:val="2F5496"/>
      <w:sz w:val="40"/>
      <w:szCs w:val="40"/>
    </w:rPr>
  </w:style>
  <w:style w:type="paragraph" w:styleId="Heading1">
    <w:name w:val="Heading 1"/>
    <w:basedOn w:val="Normal"/>
    <w:next w:val="Normal"/>
    <w:qFormat/>
    <w:rPr>
      <w:rFonts w:ascii="Calibri Light" w:cs="Calibri Light" w:eastAsia="Calibri Light" w:hAnsi="Calibri Light"/>
      <w:color w:val="2F5496"/>
      <w:sz w:val="40"/>
      <w:szCs w:val="40"/>
    </w:rPr>
  </w:style>
  <w:style w:type="paragraph" w:styleId="Heading2">
    <w:name w:val="Heading 2"/>
    <w:basedOn w:val="Normal"/>
    <w:next w:val="Normal"/>
    <w:qFormat/>
    <w:rPr>
      <w:rFonts w:ascii="Calibri Light" w:cs="Calibri Light" w:eastAsia="Calibri Light" w:hAnsi="Calibri Light"/>
      <w:color w:val="2F5496"/>
      <w:sz w:val="32"/>
      <w:szCs w:val="32"/>
    </w:rPr>
  </w:style>
  <w:style w:type="paragraph" w:styleId="Heading3">
    <w:name w:val="Heading 3"/>
    <w:basedOn w:val="Normal"/>
    <w:next w:val="Normal"/>
    <w:qFormat/>
    <w:rPr>
      <w:rFonts w:ascii="Calibri Light" w:cs="Calibri Light" w:eastAsia="Calibri Light" w:hAnsi="Calibri Light"/>
      <w:color w:val="2F5496"/>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6mhgnzxvftwr4wl88gldn" Type="http://schemas.openxmlformats.org/officeDocument/2006/relationships/hyperlink" Target="mailto:info@hmj-global.com" TargetMode="External"/><Relationship Id="rId9pmul_g3qrncdpy1oaca3" Type="http://schemas.openxmlformats.org/officeDocument/2006/relationships/hyperlink" Target="https://www.HMJ-Global.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cd55d3ccf9d385f01c6cfc72629362bf951ff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2026-04-20T17:28:32.306Z</dcterms:created>
  <dcterms:modified xsi:type="dcterms:W3CDTF">2026-04-20T17:28:32.306Z</dcterms:modified>
</cp:coreProperties>
</file>

<file path=docProps/custom.xml><?xml version="1.0" encoding="utf-8"?>
<Properties xmlns="http://schemas.openxmlformats.org/officeDocument/2006/custom-properties" xmlns:vt="http://schemas.openxmlformats.org/officeDocument/2006/docPropsVTypes"/>
</file>