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00"/>
        <w:tblBorders>
          <w:top w:val="single" w:color="9FB4DA" w:sz="2"/>
          <w:left w:val="single" w:color="9FB4DA" w:sz="2"/>
          <w:bottom w:val="single" w:color="9FB4DA" w:sz="2"/>
          <w:right w:val="single" w:color="9FB4DA" w:sz="2"/>
          <w:insideH w:val="single" w:color="9FB4DA" w:sz="1"/>
          <w:insideV w:val="single" w:color="9FB4DA" w:sz="1"/>
        </w:tblBorders>
        <w:tblLayout w:type="fixed"/>
      </w:tblPr>
      <w:tblGrid>
        <w:gridCol w:w="3200"/>
        <w:gridCol w:w="7200"/>
      </w:tblGrid>
      <w:tr>
        <w:tc>
          <w:tcPr>
            <w:tcW w:type="dxa" w:w="3200"/>
            <w:tcMar>
              <w:top w:type="dxa" w:w="120"/>
              <w:left w:type="dxa" w:w="100"/>
              <w:bottom w:type="dxa" w:w="120"/>
              <w:right w:type="dxa" w:w="100"/>
            </w:tcMar>
          </w:tcPr>
          <w:p>
            <w:pPr>
              <w:spacing w:after="80" w:line="300"/>
            </w:pPr>
            <w:r>
              <w:rPr>
                <w:rFonts w:ascii="Calibri" w:cs="Calibri" w:eastAsia="Calibri" w:hAnsi="Calibri"/>
                <w:b/>
                <w:bCs/>
                <w:color w:val="333333"/>
                <w:sz w:val="24"/>
                <w:szCs w:val="24"/>
              </w:rPr>
              <w:t xml:space="preserve">Position</w:t>
            </w:r>
          </w:p>
        </w:tc>
        <w:tc>
          <w:tcPr>
            <w:tcW w:type="dxa" w:w="7200"/>
            <w:tcMar>
              <w:top w:type="dxa" w:w="120"/>
              <w:left w:type="dxa" w:w="100"/>
              <w:bottom w:type="dxa" w:w="120"/>
              <w:right w:type="dxa" w:w="100"/>
            </w:tcMar>
          </w:tcPr>
          <w:p>
            <w:pPr>
              <w:spacing w:after="80" w:line="300"/>
            </w:pPr>
            <w:r>
              <w:rPr>
                <w:rFonts w:ascii="Calibri" w:cs="Calibri" w:eastAsia="Calibri" w:hAnsi="Calibri"/>
                <w:b w:val="false"/>
                <w:bCs w:val="false"/>
                <w:color w:val="333333"/>
                <w:sz w:val="24"/>
                <w:szCs w:val="24"/>
              </w:rPr>
              <w:t xml:space="preserve">Electrical Mate / Electrical Improver (Pharmaceutical Construction Project)</w:t>
            </w:r>
          </w:p>
        </w:tc>
      </w:tr>
      <w:tr>
        <w:tc>
          <w:tcPr>
            <w:tcW w:type="dxa" w:w="3200"/>
            <w:tcMar>
              <w:top w:type="dxa" w:w="120"/>
              <w:left w:type="dxa" w:w="100"/>
              <w:bottom w:type="dxa" w:w="120"/>
              <w:right w:type="dxa" w:w="100"/>
            </w:tcMar>
          </w:tcPr>
          <w:p>
            <w:pPr>
              <w:spacing w:after="80" w:line="300"/>
            </w:pPr>
            <w:r>
              <w:rPr>
                <w:rFonts w:ascii="Calibri" w:cs="Calibri" w:eastAsia="Calibri" w:hAnsi="Calibri"/>
                <w:b/>
                <w:bCs/>
                <w:color w:val="333333"/>
                <w:sz w:val="24"/>
                <w:szCs w:val="24"/>
              </w:rPr>
              <w:t xml:space="preserve">Candidate ID</w:t>
            </w:r>
          </w:p>
        </w:tc>
        <w:tc>
          <w:tcPr>
            <w:tcW w:type="dxa" w:w="7200"/>
            <w:tcMar>
              <w:top w:type="dxa" w:w="120"/>
              <w:left w:type="dxa" w:w="100"/>
              <w:bottom w:type="dxa" w:w="120"/>
              <w:right w:type="dxa" w:w="100"/>
            </w:tcMar>
          </w:tcPr>
          <w:p>
            <w:pPr>
              <w:spacing w:after="80" w:line="300"/>
            </w:pPr>
            <w:r>
              <w:rPr>
                <w:rFonts w:ascii="Calibri" w:cs="Calibri" w:eastAsia="Calibri" w:hAnsi="Calibri"/>
                <w:b w:val="false"/>
                <w:bCs w:val="false"/>
                <w:color w:val="333333"/>
                <w:sz w:val="24"/>
                <w:szCs w:val="24"/>
              </w:rPr>
              <w:t xml:space="preserve">HMJ-64B46764</w:t>
            </w:r>
          </w:p>
        </w:tc>
      </w:tr>
      <w:tr>
        <w:tc>
          <w:tcPr>
            <w:tcW w:type="dxa" w:w="3200"/>
            <w:tcMar>
              <w:top w:type="dxa" w:w="120"/>
              <w:left w:type="dxa" w:w="100"/>
              <w:bottom w:type="dxa" w:w="120"/>
              <w:right w:type="dxa" w:w="100"/>
            </w:tcMar>
          </w:tcPr>
          <w:p>
            <w:pPr>
              <w:spacing w:after="80" w:line="300"/>
            </w:pPr>
            <w:r>
              <w:rPr>
                <w:rFonts w:ascii="Calibri" w:cs="Calibri" w:eastAsia="Calibri" w:hAnsi="Calibri"/>
                <w:b/>
                <w:bCs/>
                <w:color w:val="333333"/>
                <w:sz w:val="24"/>
                <w:szCs w:val="24"/>
              </w:rPr>
              <w:t xml:space="preserve">Location</w:t>
            </w:r>
          </w:p>
        </w:tc>
        <w:tc>
          <w:tcPr>
            <w:tcW w:type="dxa" w:w="7200"/>
            <w:tcMar>
              <w:top w:type="dxa" w:w="120"/>
              <w:left w:type="dxa" w:w="100"/>
              <w:bottom w:type="dxa" w:w="120"/>
              <w:right w:type="dxa" w:w="100"/>
            </w:tcMar>
          </w:tcPr>
          <w:p>
            <w:pPr>
              <w:spacing w:after="80" w:line="300"/>
            </w:pPr>
            <w:r>
              <w:rPr>
                <w:rFonts w:ascii="Calibri" w:cs="Calibri" w:eastAsia="Calibri" w:hAnsi="Calibri"/>
                <w:b w:val="false"/>
                <w:bCs w:val="false"/>
                <w:color w:val="333333"/>
                <w:sz w:val="24"/>
                <w:szCs w:val="24"/>
              </w:rPr>
              <w:t xml:space="preserve">Scope &amp; Role</w:t>
            </w:r>
          </w:p>
        </w:tc>
      </w:tr>
      <w:tr>
        <w:tc>
          <w:tcPr>
            <w:tcW w:type="dxa" w:w="3200"/>
            <w:tcMar>
              <w:top w:type="dxa" w:w="120"/>
              <w:left w:type="dxa" w:w="100"/>
              <w:bottom w:type="dxa" w:w="120"/>
              <w:right w:type="dxa" w:w="100"/>
            </w:tcMar>
          </w:tcPr>
          <w:p>
            <w:pPr>
              <w:spacing w:after="80" w:line="300"/>
            </w:pPr>
            <w:r>
              <w:rPr>
                <w:rFonts w:ascii="Calibri" w:cs="Calibri" w:eastAsia="Calibri" w:hAnsi="Calibri"/>
                <w:b/>
                <w:bCs/>
                <w:color w:val="333333"/>
                <w:sz w:val="24"/>
                <w:szCs w:val="24"/>
              </w:rPr>
              <w:t xml:space="preserve">Relevant Data Centre Projects / Experience</w:t>
            </w:r>
          </w:p>
        </w:tc>
        <w:tc>
          <w:tcPr>
            <w:tcW w:type="dxa" w:w="7200"/>
            <w:tcMar>
              <w:top w:type="dxa" w:w="120"/>
              <w:left w:type="dxa" w:w="100"/>
              <w:bottom w:type="dxa" w:w="120"/>
              <w:right w:type="dxa" w:w="100"/>
            </w:tcMar>
          </w:tcPr>
          <w:p>
            <w:pPr>
              <w:pStyle w:val="ListParagraph"/>
              <w:numPr>
                <w:ilvl w:val="0"/>
                <w:numId w:val="1"/>
              </w:numPr>
              <w:spacing w:after="90" w:line="300"/>
            </w:pPr>
            <w:r>
              <w:rPr>
                <w:rFonts w:ascii="Calibri" w:cs="Calibri" w:eastAsia="Calibri" w:hAnsi="Calibri"/>
                <w:color w:val="333333"/>
                <w:sz w:val="22"/>
                <w:szCs w:val="22"/>
              </w:rPr>
              <w:t xml:space="preserve">Electrical Mate / Electrical Improver (Pharmaceutical Construction Project)</w:t>
            </w:r>
          </w:p>
          <w:p>
            <w:pPr>
              <w:pStyle w:val="ListParagraph"/>
              <w:numPr>
                <w:ilvl w:val="0"/>
                <w:numId w:val="1"/>
              </w:numPr>
              <w:spacing w:after="90" w:line="300"/>
            </w:pPr>
            <w:r>
              <w:rPr>
                <w:rFonts w:ascii="Calibri" w:cs="Calibri" w:eastAsia="Calibri" w:hAnsi="Calibri"/>
                <w:color w:val="333333"/>
                <w:sz w:val="22"/>
                <w:szCs w:val="22"/>
              </w:rPr>
              <w:t xml:space="preserve">Senior Quantity Surveyor - CSA / MEP (Data Centres)Irish passport | Eligible to work freely across EU &amp; UK | Open to relocation/travel across Europe</w:t>
            </w:r>
          </w:p>
          <w:p>
            <w:pPr>
              <w:pStyle w:val="ListParagraph"/>
              <w:numPr>
                <w:ilvl w:val="0"/>
                <w:numId w:val="1"/>
              </w:numPr>
              <w:spacing w:after="90" w:line="300"/>
            </w:pPr>
            <w:r>
              <w:rPr>
                <w:rFonts w:ascii="Calibri" w:cs="Calibri" w:eastAsia="Calibri" w:hAnsi="Calibri"/>
                <w:color w:val="333333"/>
                <w:sz w:val="22"/>
                <w:szCs w:val="22"/>
              </w:rPr>
              <w:t xml:space="preserve">Pre-construction &amp; cost planning (MEP &amp; CSA)</w:t>
            </w:r>
          </w:p>
          <w:p>
            <w:pPr>
              <w:pStyle w:val="ListParagraph"/>
              <w:numPr>
                <w:ilvl w:val="0"/>
                <w:numId w:val="1"/>
              </w:numPr>
              <w:spacing w:after="90" w:line="300"/>
            </w:pPr>
            <w:r>
              <w:rPr>
                <w:rFonts w:ascii="Calibri" w:cs="Calibri" w:eastAsia="Calibri" w:hAnsi="Calibri"/>
                <w:color w:val="333333"/>
                <w:sz w:val="22"/>
                <w:szCs w:val="22"/>
              </w:rPr>
              <w:t xml:space="preserve">Senior Quantity Surveyor - Data Centre Projects (Contract)Independent - Ireland / UK / Mainland Europe | Apr 2023 - Nov 2023</w:t>
            </w:r>
          </w:p>
        </w:tc>
      </w:tr>
      <w:tr>
        <w:tc>
          <w:tcPr>
            <w:tcW w:type="dxa" w:w="3200"/>
            <w:tcMar>
              <w:top w:type="dxa" w:w="120"/>
              <w:left w:type="dxa" w:w="100"/>
              <w:bottom w:type="dxa" w:w="120"/>
              <w:right w:type="dxa" w:w="100"/>
            </w:tcMar>
          </w:tcPr>
          <w:p>
            <w:pPr>
              <w:spacing w:after="80" w:line="300"/>
            </w:pPr>
            <w:r>
              <w:rPr>
                <w:rFonts w:ascii="Calibri" w:cs="Calibri" w:eastAsia="Calibri" w:hAnsi="Calibri"/>
                <w:b/>
                <w:bCs/>
                <w:color w:val="333333"/>
                <w:sz w:val="24"/>
                <w:szCs w:val="24"/>
              </w:rPr>
              <w:t xml:space="preserve">Qualifications &amp; Accreditations</w:t>
            </w:r>
          </w:p>
        </w:tc>
        <w:tc>
          <w:tcPr>
            <w:tcW w:type="dxa" w:w="7200"/>
            <w:tcMar>
              <w:top w:type="dxa" w:w="120"/>
              <w:left w:type="dxa" w:w="100"/>
              <w:bottom w:type="dxa" w:w="120"/>
              <w:right w:type="dxa" w:w="100"/>
            </w:tcMar>
          </w:tcPr>
          <w:p>
            <w:pPr>
              <w:pStyle w:val="ListParagraph"/>
              <w:numPr>
                <w:ilvl w:val="0"/>
                <w:numId w:val="1"/>
              </w:numPr>
              <w:spacing w:after="90" w:line="300"/>
            </w:pPr>
            <w:r>
              <w:rPr>
                <w:rFonts w:ascii="Calibri" w:cs="Calibri" w:eastAsia="Calibri" w:hAnsi="Calibri"/>
                <w:color w:val="333333"/>
                <w:sz w:val="22"/>
                <w:szCs w:val="22"/>
              </w:rPr>
              <w:t xml:space="preserve">BSc (Hons) Quantity Surveying &amp; Construction Economics - Ireland (2000)</w:t>
            </w:r>
          </w:p>
        </w:tc>
      </w:tr>
    </w:tbl>
    <w:p>
      <w:r>
        <w:br w:type="page"/>
      </w:r>
    </w:p>
    <w:p>
      <w:pPr>
        <w:spacing w:after="80"/>
      </w:pPr>
      <w:r>
        <w:rPr>
          <w:rFonts w:ascii="Calibri Light" w:cs="Calibri Light" w:eastAsia="Calibri Light" w:hAnsi="Calibri Light"/>
          <w:b/>
          <w:bCs/>
          <w:i w:val="false"/>
          <w:iCs w:val="false"/>
          <w:color w:val="2F5496"/>
          <w:sz w:val="34"/>
          <w:szCs w:val="34"/>
        </w:rPr>
        <w:t xml:space="preserve">Electrical Mate / Electrical Improver (Pharmaceutical Construction Project)</w:t>
      </w:r>
    </w:p>
    <w:p>
      <w:pPr>
        <w:spacing w:after="180"/>
      </w:pPr>
      <w:r>
        <w:rPr>
          <w:rFonts w:ascii="Calibri" w:cs="Calibri" w:eastAsia="Calibri" w:hAnsi="Calibri"/>
          <w:b w:val="false"/>
          <w:bCs w:val="false"/>
          <w:i w:val="false"/>
          <w:iCs w:val="false"/>
          <w:color w:val="2F5496"/>
          <w:sz w:val="18"/>
          <w:szCs w:val="18"/>
        </w:rPr>
        <w:t xml:space="preserve">HMJ-64B46764</w:t>
      </w:r>
    </w:p>
    <w:p>
      <w:pPr>
        <w:spacing w:after="120" w:before="220"/>
      </w:pPr>
      <w:r>
        <w:rPr>
          <w:rFonts w:ascii="Calibri Light" w:cs="Calibri Light" w:eastAsia="Calibri Light" w:hAnsi="Calibri Light"/>
          <w:b/>
          <w:bCs/>
          <w:color w:val="2F5496"/>
          <w:sz w:val="28"/>
          <w:szCs w:val="28"/>
        </w:rPr>
        <w:t xml:space="preserve">Profile</w:t>
      </w:r>
    </w:p>
    <w:p>
      <w:pPr>
        <w:spacing w:after="160" w:line="340"/>
      </w:pPr>
      <w:r>
        <w:rPr>
          <w:rFonts w:ascii="Calibri" w:cs="Calibri" w:eastAsia="Calibri" w:hAnsi="Calibri"/>
          <w:b w:val="false"/>
          <w:bCs w:val="false"/>
          <w:i w:val="false"/>
          <w:iCs w:val="false"/>
          <w:color w:val="333333"/>
          <w:sz w:val="24"/>
          <w:szCs w:val="24"/>
        </w:rPr>
        <w:t xml:space="preserve">The candidate is an experienced Electrical Mate / Electrical Improver (Pharmaceutical Construction Project) based in Scope &amp; Role. Brings delivery exposure across data centre, pharma, industrial, commercial, and commissioning environments. Relevant source evidence includes Electrical Mate / Electrical Improver (Pharmaceutical Construction Project) and Senior Quantity Surveyor - CSA / MEP (Data Centres)Irish passport | Eligible to work freely across EU &amp; UK | Open to relocation/travel across Europe. Key strengths include Pre-construction &amp; cost planning (MEP &amp; CSA), Procurement &amp; tendering: package strategy, bid analysis, and negotiation. Qualifications include BSc (Hons) Quantity Surveying &amp; Construction Economics - Ireland (2000). Electrical Mate / Electrical Improver (Pharmaceutical Construction Project) based in Scope &amp; Role with Senior Quantity Surveyor - CSA / MEP (Data Centres)Irish passport | Eligible to work freely across EU &amp; UK | Open to relocation/travel across Europe.
Role Alignment
Content emphasis has been tuned against the uploaded job specification.
Priority skills and projects have been reordered toward the target brief.
All statements remain grounded in the supplied CV evidence only.</w:t>
      </w:r>
    </w:p>
    <w:p>
      <w:pPr>
        <w:spacing w:after="120" w:before="220"/>
      </w:pPr>
      <w:r>
        <w:rPr>
          <w:rFonts w:ascii="Calibri Light" w:cs="Calibri Light" w:eastAsia="Calibri Light" w:hAnsi="Calibri Light"/>
          <w:b/>
          <w:bCs/>
          <w:color w:val="2F5496"/>
          <w:sz w:val="28"/>
          <w:szCs w:val="28"/>
        </w:rPr>
        <w:t xml:space="preserve">Key Skills</w:t>
      </w:r>
    </w:p>
    <w:p>
      <w:pPr>
        <w:pStyle w:val="ListParagraph"/>
        <w:numPr>
          <w:ilvl w:val="0"/>
          <w:numId w:val="1"/>
        </w:numPr>
        <w:spacing w:after="90" w:line="300"/>
      </w:pPr>
      <w:r>
        <w:rPr>
          <w:rFonts w:ascii="Calibri" w:cs="Calibri" w:eastAsia="Calibri" w:hAnsi="Calibri"/>
          <w:color w:val="333333"/>
          <w:sz w:val="22"/>
          <w:szCs w:val="22"/>
        </w:rPr>
        <w:t xml:space="preserve">Pre-construction &amp; cost planning (MEP &amp; CSA)</w:t>
      </w:r>
    </w:p>
    <w:p>
      <w:pPr>
        <w:pStyle w:val="ListParagraph"/>
        <w:numPr>
          <w:ilvl w:val="0"/>
          <w:numId w:val="1"/>
        </w:numPr>
        <w:spacing w:after="90" w:line="300"/>
      </w:pPr>
      <w:r>
        <w:rPr>
          <w:rFonts w:ascii="Calibri" w:cs="Calibri" w:eastAsia="Calibri" w:hAnsi="Calibri"/>
          <w:color w:val="333333"/>
          <w:sz w:val="22"/>
          <w:szCs w:val="22"/>
        </w:rPr>
        <w:t xml:space="preserve">Procurement &amp; tendering: package strategy</w:t>
      </w:r>
    </w:p>
    <w:p>
      <w:pPr>
        <w:pStyle w:val="ListParagraph"/>
        <w:numPr>
          <w:ilvl w:val="0"/>
          <w:numId w:val="1"/>
        </w:numPr>
        <w:spacing w:after="90" w:line="300"/>
      </w:pPr>
      <w:r>
        <w:rPr>
          <w:rFonts w:ascii="Calibri" w:cs="Calibri" w:eastAsia="Calibri" w:hAnsi="Calibri"/>
          <w:color w:val="333333"/>
          <w:sz w:val="22"/>
          <w:szCs w:val="22"/>
        </w:rPr>
        <w:t xml:space="preserve">bid analysis</w:t>
      </w:r>
    </w:p>
    <w:p>
      <w:pPr>
        <w:pStyle w:val="ListParagraph"/>
        <w:numPr>
          <w:ilvl w:val="0"/>
          <w:numId w:val="1"/>
        </w:numPr>
        <w:spacing w:after="90" w:line="300"/>
      </w:pPr>
      <w:r>
        <w:rPr>
          <w:rFonts w:ascii="Calibri" w:cs="Calibri" w:eastAsia="Calibri" w:hAnsi="Calibri"/>
          <w:color w:val="333333"/>
          <w:sz w:val="22"/>
          <w:szCs w:val="22"/>
        </w:rPr>
        <w:t xml:space="preserve">negotiation</w:t>
      </w:r>
    </w:p>
    <w:p>
      <w:pPr>
        <w:pStyle w:val="ListParagraph"/>
        <w:numPr>
          <w:ilvl w:val="0"/>
          <w:numId w:val="1"/>
        </w:numPr>
        <w:spacing w:after="90" w:line="300"/>
      </w:pPr>
      <w:r>
        <w:rPr>
          <w:rFonts w:ascii="Calibri" w:cs="Calibri" w:eastAsia="Calibri" w:hAnsi="Calibri"/>
          <w:color w:val="333333"/>
          <w:sz w:val="22"/>
          <w:szCs w:val="22"/>
        </w:rPr>
        <w:t xml:space="preserve">Budget control &amp; change management (claims</w:t>
      </w:r>
    </w:p>
    <w:p>
      <w:pPr>
        <w:pStyle w:val="ListParagraph"/>
        <w:numPr>
          <w:ilvl w:val="0"/>
          <w:numId w:val="1"/>
        </w:numPr>
        <w:spacing w:after="90" w:line="300"/>
      </w:pPr>
      <w:r>
        <w:rPr>
          <w:rFonts w:ascii="Calibri" w:cs="Calibri" w:eastAsia="Calibri" w:hAnsi="Calibri"/>
          <w:color w:val="333333"/>
          <w:sz w:val="22"/>
          <w:szCs w:val="22"/>
        </w:rPr>
        <w:t xml:space="preserve">variations</w:t>
      </w:r>
    </w:p>
    <w:p>
      <w:pPr>
        <w:pStyle w:val="ListParagraph"/>
        <w:numPr>
          <w:ilvl w:val="0"/>
          <w:numId w:val="1"/>
        </w:numPr>
        <w:spacing w:after="90" w:line="300"/>
      </w:pPr>
      <w:r>
        <w:rPr>
          <w:rFonts w:ascii="Calibri" w:cs="Calibri" w:eastAsia="Calibri" w:hAnsi="Calibri"/>
          <w:color w:val="333333"/>
          <w:sz w:val="22"/>
          <w:szCs w:val="22"/>
        </w:rPr>
        <w:t xml:space="preserve">final accounts)</w:t>
      </w:r>
    </w:p>
    <w:p>
      <w:pPr>
        <w:pStyle w:val="ListParagraph"/>
        <w:numPr>
          <w:ilvl w:val="0"/>
          <w:numId w:val="1"/>
        </w:numPr>
        <w:spacing w:after="90" w:line="300"/>
      </w:pPr>
      <w:r>
        <w:rPr>
          <w:rFonts w:ascii="Calibri" w:cs="Calibri" w:eastAsia="Calibri" w:hAnsi="Calibri"/>
          <w:color w:val="333333"/>
          <w:sz w:val="22"/>
          <w:szCs w:val="22"/>
        </w:rPr>
        <w:t xml:space="preserve">Commercial governance &amp; risk reporting for board/clients</w:t>
      </w:r>
    </w:p>
    <w:p>
      <w:pPr>
        <w:pStyle w:val="ListParagraph"/>
        <w:numPr>
          <w:ilvl w:val="0"/>
          <w:numId w:val="1"/>
        </w:numPr>
        <w:spacing w:after="90" w:line="300"/>
      </w:pPr>
      <w:r>
        <w:rPr>
          <w:rFonts w:ascii="Calibri" w:cs="Calibri" w:eastAsia="Calibri" w:hAnsi="Calibri"/>
          <w:color w:val="333333"/>
          <w:sz w:val="22"/>
          <w:szCs w:val="22"/>
        </w:rPr>
        <w:t xml:space="preserve">Excel cost modelling / P&amp;L forecasting</w:t>
      </w:r>
    </w:p>
    <w:p>
      <w:pPr>
        <w:pStyle w:val="ListParagraph"/>
        <w:numPr>
          <w:ilvl w:val="0"/>
          <w:numId w:val="1"/>
        </w:numPr>
        <w:spacing w:after="90" w:line="300"/>
      </w:pPr>
      <w:r>
        <w:rPr>
          <w:rFonts w:ascii="Calibri" w:cs="Calibri" w:eastAsia="Calibri" w:hAnsi="Calibri"/>
          <w:color w:val="333333"/>
          <w:sz w:val="22"/>
          <w:szCs w:val="22"/>
        </w:rPr>
        <w:t xml:space="preserve">Interpretation of design drawings</w:t>
      </w:r>
    </w:p>
    <w:p>
      <w:pPr>
        <w:pStyle w:val="ListParagraph"/>
        <w:numPr>
          <w:ilvl w:val="0"/>
          <w:numId w:val="1"/>
        </w:numPr>
        <w:spacing w:after="90" w:line="300"/>
      </w:pPr>
      <w:r>
        <w:rPr>
          <w:rFonts w:ascii="Calibri" w:cs="Calibri" w:eastAsia="Calibri" w:hAnsi="Calibri"/>
          <w:color w:val="333333"/>
          <w:sz w:val="22"/>
          <w:szCs w:val="22"/>
        </w:rPr>
        <w:t xml:space="preserve">BIM models &amp; engineering specs into cost plans</w:t>
      </w:r>
    </w:p>
    <w:p>
      <w:pPr>
        <w:pStyle w:val="ListParagraph"/>
        <w:numPr>
          <w:ilvl w:val="0"/>
          <w:numId w:val="1"/>
        </w:numPr>
        <w:spacing w:after="90" w:line="300"/>
      </w:pPr>
      <w:r>
        <w:rPr>
          <w:rFonts w:ascii="Calibri" w:cs="Calibri" w:eastAsia="Calibri" w:hAnsi="Calibri"/>
          <w:color w:val="333333"/>
          <w:sz w:val="22"/>
          <w:szCs w:val="22"/>
        </w:rPr>
        <w:t xml:space="preserve">Contract administration under NEC / JCT / FIDIC</w:t>
      </w:r>
    </w:p>
    <w:p>
      <w:pPr>
        <w:spacing w:after="120" w:before="220"/>
      </w:pPr>
      <w:r>
        <w:rPr>
          <w:rFonts w:ascii="Calibri Light" w:cs="Calibri Light" w:eastAsia="Calibri Light" w:hAnsi="Calibri Light"/>
          <w:b/>
          <w:bCs/>
          <w:color w:val="2F5496"/>
          <w:sz w:val="28"/>
          <w:szCs w:val="28"/>
        </w:rPr>
        <w:t xml:space="preserve">Relevant Project Experience</w:t>
      </w:r>
    </w:p>
    <w:p>
      <w:pPr>
        <w:pStyle w:val="ListParagraph"/>
        <w:numPr>
          <w:ilvl w:val="0"/>
          <w:numId w:val="1"/>
        </w:numPr>
        <w:spacing w:after="90" w:line="300"/>
      </w:pPr>
      <w:r>
        <w:rPr>
          <w:rFonts w:ascii="Calibri" w:cs="Calibri" w:eastAsia="Calibri" w:hAnsi="Calibri"/>
          <w:color w:val="333333"/>
          <w:sz w:val="22"/>
          <w:szCs w:val="22"/>
        </w:rPr>
        <w:t xml:space="preserve">Electrical Mate / Electrical Improver (Pharmaceutical Construction Project)</w:t>
      </w:r>
    </w:p>
    <w:p>
      <w:pPr>
        <w:pStyle w:val="ListParagraph"/>
        <w:numPr>
          <w:ilvl w:val="0"/>
          <w:numId w:val="1"/>
        </w:numPr>
        <w:spacing w:after="90" w:line="300"/>
      </w:pPr>
      <w:r>
        <w:rPr>
          <w:rFonts w:ascii="Calibri" w:cs="Calibri" w:eastAsia="Calibri" w:hAnsi="Calibri"/>
          <w:color w:val="333333"/>
          <w:sz w:val="22"/>
          <w:szCs w:val="22"/>
        </w:rPr>
        <w:t xml:space="preserve">Senior Quantity Surveyor - CSA / MEP (Data Centres)Irish passport | Eligible to work freely across EU &amp; UK | Open to relocation/travel across Europe</w:t>
      </w:r>
    </w:p>
    <w:p>
      <w:pPr>
        <w:pStyle w:val="ListParagraph"/>
        <w:numPr>
          <w:ilvl w:val="0"/>
          <w:numId w:val="1"/>
        </w:numPr>
        <w:spacing w:after="90" w:line="300"/>
      </w:pPr>
      <w:r>
        <w:rPr>
          <w:rFonts w:ascii="Calibri" w:cs="Calibri" w:eastAsia="Calibri" w:hAnsi="Calibri"/>
          <w:color w:val="333333"/>
          <w:sz w:val="22"/>
          <w:szCs w:val="22"/>
        </w:rPr>
        <w:t xml:space="preserve">Pre-construction &amp; cost planning (MEP &amp; CSA)</w:t>
      </w:r>
    </w:p>
    <w:p>
      <w:pPr>
        <w:pStyle w:val="ListParagraph"/>
        <w:numPr>
          <w:ilvl w:val="0"/>
          <w:numId w:val="1"/>
        </w:numPr>
        <w:spacing w:after="90" w:line="300"/>
      </w:pPr>
      <w:r>
        <w:rPr>
          <w:rFonts w:ascii="Calibri" w:cs="Calibri" w:eastAsia="Calibri" w:hAnsi="Calibri"/>
          <w:color w:val="333333"/>
          <w:sz w:val="22"/>
          <w:szCs w:val="22"/>
        </w:rPr>
        <w:t xml:space="preserve">Senior Quantity Surveyor - Data Centre Projects (Contract)Independent - Ireland / UK / Mainland Europe | Apr 2023 - Nov 2023</w:t>
      </w:r>
    </w:p>
    <w:p>
      <w:pPr>
        <w:pStyle w:val="ListParagraph"/>
        <w:numPr>
          <w:ilvl w:val="0"/>
          <w:numId w:val="1"/>
        </w:numPr>
        <w:spacing w:after="90" w:line="300"/>
      </w:pPr>
      <w:r>
        <w:rPr>
          <w:rFonts w:ascii="Calibri" w:cs="Calibri" w:eastAsia="Calibri" w:hAnsi="Calibri"/>
          <w:color w:val="333333"/>
          <w:sz w:val="22"/>
          <w:szCs w:val="22"/>
        </w:rPr>
        <w:t xml:space="preserve">Delivered full commercial management for hyperscale data centres in Stockholm, Frankfurt &amp; Amsterdamfor global cloud providers (confidential hyperscale clients).</w:t>
      </w:r>
    </w:p>
    <w:p>
      <w:pPr>
        <w:pStyle w:val="ListParagraph"/>
        <w:numPr>
          <w:ilvl w:val="0"/>
          <w:numId w:val="1"/>
        </w:numPr>
        <w:spacing w:after="90" w:line="300"/>
      </w:pPr>
      <w:r>
        <w:rPr>
          <w:rFonts w:ascii="Calibri" w:cs="Calibri" w:eastAsia="Calibri" w:hAnsi="Calibri"/>
          <w:color w:val="333333"/>
          <w:sz w:val="22"/>
          <w:szCs w:val="22"/>
        </w:rPr>
        <w:t xml:space="preserve">BSc (Hons) Quantity Surveying &amp; Construction Economics - Ireland (2000)</w:t>
      </w:r>
    </w:p>
    <w:p>
      <w:pPr>
        <w:spacing w:after="120" w:before="220"/>
      </w:pPr>
      <w:r>
        <w:rPr>
          <w:rFonts w:ascii="Calibri Light" w:cs="Calibri Light" w:eastAsia="Calibri Light" w:hAnsi="Calibri Light"/>
          <w:b/>
          <w:bCs/>
          <w:color w:val="2F5496"/>
          <w:sz w:val="28"/>
          <w:szCs w:val="28"/>
        </w:rPr>
        <w:t xml:space="preserve">Qualifications</w:t>
      </w:r>
    </w:p>
    <w:p>
      <w:pPr>
        <w:pStyle w:val="ListParagraph"/>
        <w:numPr>
          <w:ilvl w:val="0"/>
          <w:numId w:val="1"/>
        </w:numPr>
        <w:spacing w:after="90" w:line="300"/>
      </w:pPr>
      <w:r>
        <w:rPr>
          <w:rFonts w:ascii="Calibri" w:cs="Calibri" w:eastAsia="Calibri" w:hAnsi="Calibri"/>
          <w:color w:val="333333"/>
          <w:sz w:val="22"/>
          <w:szCs w:val="22"/>
        </w:rPr>
        <w:t xml:space="preserve">BSc (Hons) Quantity Surveying &amp; Construction Economics - Ireland (2000)</w:t>
      </w:r>
    </w:p>
    <w:p>
      <w:pPr>
        <w:spacing w:after="120" w:before="220"/>
      </w:pPr>
      <w:r>
        <w:rPr>
          <w:rFonts w:ascii="Calibri Light" w:cs="Calibri Light" w:eastAsia="Calibri Light" w:hAnsi="Calibri Light"/>
          <w:b/>
          <w:bCs/>
          <w:color w:val="2F5496"/>
          <w:sz w:val="28"/>
          <w:szCs w:val="28"/>
        </w:rPr>
        <w:t xml:space="preserve">Employment History</w:t>
      </w:r>
    </w:p>
    <w:p>
      <w:pPr>
        <w:spacing w:after="40"/>
      </w:pPr>
      <w:r>
        <w:rPr>
          <w:rFonts w:ascii="Calibri" w:cs="Calibri" w:eastAsia="Calibri" w:hAnsi="Calibri"/>
          <w:b/>
          <w:bCs/>
          <w:i w:val="false"/>
          <w:iCs w:val="false"/>
          <w:color w:val="333333"/>
          <w:sz w:val="26"/>
          <w:szCs w:val="26"/>
        </w:rPr>
        <w:t xml:space="preserve">Senior Quantity Surveyor - Data Centre Projects (Contract)Independent - Ireland / UK / Mainland Europe | Apr 2023 - Nov 2023</w:t>
      </w:r>
    </w:p>
    <w:p>
      <w:pPr>
        <w:spacing w:after="60"/>
      </w:pPr>
      <w:r>
        <w:rPr>
          <w:rFonts w:ascii="Calibri" w:cs="Calibri" w:eastAsia="Calibri" w:hAnsi="Calibri"/>
          <w:b w:val="false"/>
          <w:bCs w:val="false"/>
          <w:i/>
          <w:iCs/>
          <w:color w:val="333333"/>
          <w:sz w:val="22"/>
          <w:szCs w:val="22"/>
        </w:rPr>
        <w:t xml:space="preserve">Quantity Surveyor - Mission-Critical &amp; Commercial BuildsVarious Tier 1 &amp; specialist contractors |</w:t>
      </w:r>
    </w:p>
    <w:p>
      <w:pPr>
        <w:spacing w:after="100" w:line="330"/>
      </w:pPr>
      <w:r>
        <w:rPr>
          <w:rFonts w:ascii="Calibri" w:cs="Calibri" w:eastAsia="Calibri" w:hAnsi="Calibri"/>
          <w:b w:val="false"/>
          <w:bCs w:val="false"/>
          <w:i w:val="false"/>
          <w:iCs w:val="false"/>
          <w:color w:val="333333"/>
          <w:sz w:val="24"/>
          <w:szCs w:val="24"/>
        </w:rPr>
        <w:t xml:space="preserve">Delivered full commercial management for hyperscale data centres in Stockholm, Frankfurt &amp; Amsterdamfor global cloud providers (confidential hyperscale clients). Took design and MEP packages from consultants/engineers, converted into detailed cost models (grouped P&amp;L style) for accurate forecasting and board reporting. Managed procurement and negotiation for large CSA &amp; MEP packages; maintained strict cost control, change management, and monthly valuations. Supported project teams on commissioning and handover, aligning budgets with phased completion. Acted as lead QS on multi-phase data centre campuses (Ireland, Netherlands, Sweden, Finland, Germany) up to €500M+. Selected Data Centre Projects Supported pre-con cost planning, risk analysis &amp; supply chain strategy. Oversaw monthly cost reporting &amp; earned value analysis for senior stakeholders. Managed subcontractor accounts from tender t</w:t>
      </w:r>
    </w:p>
    <w:p>
      <w:pPr>
        <w:spacing w:after="120" w:before="220"/>
      </w:pPr>
      <w:r>
        <w:rPr>
          <w:rFonts w:ascii="Calibri Light" w:cs="Calibri Light" w:eastAsia="Calibri Light" w:hAnsi="Calibri Light"/>
          <w:b/>
          <w:bCs/>
          <w:color w:val="2F5496"/>
          <w:sz w:val="28"/>
          <w:szCs w:val="28"/>
        </w:rPr>
        <w:t xml:space="preserve">Additional Information</w:t>
      </w:r>
    </w:p>
    <w:p>
      <w:pPr>
        <w:pStyle w:val="ListParagraph"/>
        <w:numPr>
          <w:ilvl w:val="0"/>
          <w:numId w:val="1"/>
        </w:numPr>
        <w:spacing w:after="90" w:line="300"/>
      </w:pPr>
      <w:r>
        <w:rPr>
          <w:rFonts w:ascii="Calibri" w:cs="Calibri" w:eastAsia="Calibri" w:hAnsi="Calibri"/>
          <w:color w:val="333333"/>
          <w:sz w:val="22"/>
          <w:szCs w:val="22"/>
        </w:rPr>
        <w:t xml:space="preserve">Senior Quantity Surveyor - CSA / MEP (Data Centres)Irish passport | Eligible to work freely across EU &amp; UK | Open to relocation/travel across Europe</w:t>
      </w:r>
    </w:p>
    <w:p>
      <w:pPr>
        <w:pStyle w:val="ListParagraph"/>
        <w:numPr>
          <w:ilvl w:val="0"/>
          <w:numId w:val="1"/>
        </w:numPr>
        <w:spacing w:after="90" w:line="300"/>
      </w:pPr>
      <w:r>
        <w:rPr>
          <w:rFonts w:ascii="Calibri" w:cs="Calibri" w:eastAsia="Calibri" w:hAnsi="Calibri"/>
          <w:color w:val="333333"/>
          <w:sz w:val="22"/>
          <w:szCs w:val="22"/>
        </w:rPr>
        <w:t xml:space="preserve">Electrical Mate / Electrical Improver (Pharmaceutical Construction Project) based in Scope &amp; Role with Senior Quantity Surveyor - CSA / MEP (Data Centres)Irish passport | Eligible</w:t>
      </w:r>
    </w:p>
    <w:sectPr>
      <w:headerReference w:type="default" r:id="rId7"/>
      <w:footerReference w:type="default" r:id="rId8"/>
      <w:pgSz w:w="11906" w:h="16838" w:orient="portrait"/>
      <w:pgMar w:top="1134" w:right="850" w:bottom="1134" w:left="1701" w:header="1134" w:footer="28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80"/>
    </w:pPr>
    <w:hyperlink w:history="1" r:id="rIdgn9pqgbgg0h3vqrvhajlq">
      <w:r>
        <w:rPr>
          <w:rStyle w:val="Hyperlink"/>
          <w:rFonts w:ascii="Calibri" w:cs="Calibri" w:eastAsia="Calibri" w:hAnsi="Calibri"/>
          <w:sz w:val="16"/>
          <w:szCs w:val="16"/>
        </w:rPr>
        <w:t xml:space="preserve">info@hmj-global.com</w:t>
      </w:r>
    </w:hyperlink>
    <w:r>
      <w:rPr>
        <w:rFonts w:ascii="Calibri" w:cs="Calibri" w:eastAsia="Calibri" w:hAnsi="Calibri"/>
        <w:color w:val="333333"/>
        <w:sz w:val="16"/>
        <w:szCs w:val="16"/>
      </w:rPr>
      <w:t xml:space="preserve">  |  </w:t>
    </w:r>
    <w:r>
      <w:rPr>
        <w:rFonts w:ascii="Calibri" w:cs="Calibri" w:eastAsia="Calibri" w:hAnsi="Calibri"/>
        <w:color w:val="333333"/>
        <w:sz w:val="16"/>
        <w:szCs w:val="16"/>
      </w:rPr>
      <w:t xml:space="preserve">0800 861 1230</w:t>
    </w:r>
    <w:r>
      <w:rPr>
        <w:rFonts w:ascii="Calibri" w:cs="Calibri" w:eastAsia="Calibri" w:hAnsi="Calibri"/>
        <w:color w:val="333333"/>
        <w:sz w:val="16"/>
        <w:szCs w:val="16"/>
      </w:rPr>
      <w:t xml:space="preserve">  |  </w:t>
    </w:r>
    <w:hyperlink w:history="1" r:id="rId1dcz092qhjtfh5wyhzky4">
      <w:r>
        <w:rPr>
          <w:rStyle w:val="Hyperlink"/>
          <w:rFonts w:ascii="Calibri" w:cs="Calibri" w:eastAsia="Calibri" w:hAnsi="Calibri"/>
          <w:sz w:val="16"/>
          <w:szCs w:val="16"/>
        </w:rPr>
        <w:t xml:space="preserve">www.HMJ-Global.com</w:t>
      </w:r>
    </w:hyperlink>
  </w:p>
  <w:p>
    <w:pPr>
      <w:spacing w:line="360"/>
    </w:pPr>
    <w:r>
      <w:drawing>
        <wp:anchor distT="0" distB="0" distL="0" distR="0" simplePos="0" allowOverlap="1" behindDoc="0" locked="0" layoutInCell="1" relativeHeight="914400">
          <wp:simplePos x="0" y="0"/>
          <wp:positionH relativeFrom="margin">
            <wp:posOffset>5200000</wp:posOffset>
          </wp:positionH>
          <wp:positionV relativeFrom="margin">
            <wp:posOffset>8850000</wp:posOffset>
          </wp:positionV>
          <wp:extent cx="1333500" cy="914400"/>
          <wp:effectExtent t="0" r="0" b="0" l="0"/>
          <wp:wrapSquare wrapText="bothSides" distT="0" distB="0" distL="0" distR="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914400"/>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0" locked="0" layoutInCell="1" relativeHeight="1143000">
          <wp:simplePos x="0" y="0"/>
          <wp:positionH relativeFrom="margin">
            <wp:posOffset>-380000</wp:posOffset>
          </wp:positionH>
          <wp:positionV relativeFrom="margin">
            <wp:posOffset>-950000</wp:posOffset>
          </wp:positionV>
          <wp:extent cx="1524000" cy="1143000"/>
          <wp:effectExtent t="0" r="0" b="0" l="0"/>
          <wp:wrapSquare wrapText="bothSides" distT="0" distB="0" distL="0" distR="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0" cy="1143000"/>
                  </a:xfrm>
                  <a:prstGeom prst="rect">
                    <a:avLst/>
                  </a:prstGeom>
                </pic:spPr>
              </pic:pic>
            </a:graphicData>
          </a:graphic>
        </wp:anchor>
      </w:drawing>
    </w:r>
  </w:p>
  <w:p>
    <w:pPr>
      <w:spacing w:after="60"/>
    </w:pPr>
    <w:r>
      <w:rPr>
        <w:rFonts w:ascii="Calibri Light" w:cs="Calibri Light" w:eastAsia="Calibri Light" w:hAnsi="Calibri Light"/>
        <w:b/>
        <w:bCs/>
        <w:color w:val="2F5496"/>
        <w:sz w:val="20"/>
        <w:szCs w:val="20"/>
      </w:rPr>
      <w:t xml:space="preserve">HMJ Global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4"/>
        <w:szCs w:val="24"/>
      </w:rPr>
    </w:rPrDefault>
    <w:pPrDefault/>
  </w:docDefaults>
  <w:style w:type="paragraph" w:styleId="Title">
    <w:name w:val="Title"/>
    <w:basedOn w:val="Normal"/>
    <w:next w:val="Normal"/>
    <w:qFormat/>
    <w:rPr>
      <w:rFonts w:ascii="Calibri Light" w:cs="Calibri Light" w:eastAsia="Calibri Light" w:hAnsi="Calibri Light"/>
      <w:color w:val="2F5496"/>
      <w:sz w:val="40"/>
      <w:szCs w:val="40"/>
    </w:rPr>
  </w:style>
  <w:style w:type="paragraph" w:styleId="Heading1">
    <w:name w:val="Heading 1"/>
    <w:basedOn w:val="Normal"/>
    <w:next w:val="Normal"/>
    <w:qFormat/>
    <w:rPr>
      <w:rFonts w:ascii="Calibri Light" w:cs="Calibri Light" w:eastAsia="Calibri Light" w:hAnsi="Calibri Light"/>
      <w:color w:val="2F5496"/>
      <w:sz w:val="40"/>
      <w:szCs w:val="40"/>
    </w:rPr>
  </w:style>
  <w:style w:type="paragraph" w:styleId="Heading2">
    <w:name w:val="Heading 2"/>
    <w:basedOn w:val="Normal"/>
    <w:next w:val="Normal"/>
    <w:qFormat/>
    <w:rPr>
      <w:rFonts w:ascii="Calibri Light" w:cs="Calibri Light" w:eastAsia="Calibri Light" w:hAnsi="Calibri Light"/>
      <w:color w:val="2F5496"/>
      <w:sz w:val="32"/>
      <w:szCs w:val="32"/>
    </w:rPr>
  </w:style>
  <w:style w:type="paragraph" w:styleId="Heading3">
    <w:name w:val="Heading 3"/>
    <w:basedOn w:val="Normal"/>
    <w:next w:val="Normal"/>
    <w:qFormat/>
    <w:rPr>
      <w:rFonts w:ascii="Calibri Light" w:cs="Calibri Light" w:eastAsia="Calibri Light" w:hAnsi="Calibri Light"/>
      <w:color w:val="2F5496"/>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gn9pqgbgg0h3vqrvhajlq" Type="http://schemas.openxmlformats.org/officeDocument/2006/relationships/hyperlink" Target="mailto:info@hmj-global.com" TargetMode="External"/><Relationship Id="rId1dcz092qhjtfh5wyhzky4" Type="http://schemas.openxmlformats.org/officeDocument/2006/relationships/hyperlink" Target="https://www.HMJ-Global.com" TargetMode="External"/><Relationship Id="rId0" Type="http://schemas.openxmlformats.org/officeDocument/2006/relationships/image" Target="media/72cd55d3ccf9d385f01c6cfc72629362bf951ff8.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2cd55d3ccf9d385f01c6cfc72629362bf951ff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2026-04-20T16:55:47.207Z</dcterms:created>
  <dcterms:modified xsi:type="dcterms:W3CDTF">2026-04-20T16:55:47.207Z</dcterms:modified>
</cp:coreProperties>
</file>

<file path=docProps/custom.xml><?xml version="1.0" encoding="utf-8"?>
<Properties xmlns="http://schemas.openxmlformats.org/officeDocument/2006/custom-properties" xmlns:vt="http://schemas.openxmlformats.org/officeDocument/2006/docPropsVTypes"/>
</file>