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34017" w14:textId="40005463" w:rsidR="004271D7" w:rsidRPr="00F61229" w:rsidRDefault="00AF0AFB" w:rsidP="00E20E52">
      <w:pPr>
        <w:spacing w:after="0" w:line="360" w:lineRule="auto"/>
        <w:ind w:left="4962" w:hanging="4962"/>
        <w:contextualSpacing/>
        <w:rPr>
          <w:lang w:val="en-GB"/>
        </w:rPr>
      </w:pPr>
      <w:r w:rsidRPr="00F61229">
        <w:rPr>
          <w:noProof/>
          <w:lang w:val="en-GB"/>
        </w:rPr>
        <mc:AlternateContent>
          <mc:Choice Requires="wps">
            <w:drawing>
              <wp:anchor distT="0" distB="0" distL="114300" distR="114300" simplePos="0" relativeHeight="251658243" behindDoc="0" locked="0" layoutInCell="1" allowOverlap="1" wp14:anchorId="27923955" wp14:editId="0FCE6E98">
                <wp:simplePos x="0" y="0"/>
                <wp:positionH relativeFrom="column">
                  <wp:posOffset>2032000</wp:posOffset>
                </wp:positionH>
                <wp:positionV relativeFrom="paragraph">
                  <wp:posOffset>5280025</wp:posOffset>
                </wp:positionV>
                <wp:extent cx="3999230" cy="3098800"/>
                <wp:effectExtent l="0" t="0" r="1270" b="6350"/>
                <wp:wrapNone/>
                <wp:docPr id="26" name="Text Box 26"/>
                <wp:cNvGraphicFramePr/>
                <a:graphic xmlns:a="http://schemas.openxmlformats.org/drawingml/2006/main">
                  <a:graphicData uri="http://schemas.microsoft.com/office/word/2010/wordprocessingShape">
                    <wps:wsp>
                      <wps:cNvSpPr txBox="1"/>
                      <wps:spPr>
                        <a:xfrm>
                          <a:off x="0" y="0"/>
                          <a:ext cx="3999230" cy="3098800"/>
                        </a:xfrm>
                        <a:prstGeom prst="rect">
                          <a:avLst/>
                        </a:prstGeom>
                        <a:noFill/>
                        <a:ln w="6350">
                          <a:noFill/>
                        </a:ln>
                      </wps:spPr>
                      <wps:txbx>
                        <w:txbxContent>
                          <w:p w14:paraId="5669F144" w14:textId="531AE2D1" w:rsidR="00D05086" w:rsidRPr="008317E0" w:rsidRDefault="00AF0AFB" w:rsidP="006D43D7">
                            <w:pPr>
                              <w:pStyle w:val="Title"/>
                              <w:rPr>
                                <w:lang w:val="en-US"/>
                              </w:rPr>
                            </w:pPr>
                            <w:r>
                              <w:rPr>
                                <w:lang w:val="en-US"/>
                              </w:rPr>
                              <w:t>Climate investment planning for climate neutral cities</w:t>
                            </w:r>
                          </w:p>
                          <w:p w14:paraId="3959AFF8" w14:textId="4880B252" w:rsidR="00D05086" w:rsidRPr="00E85823" w:rsidRDefault="00D05086" w:rsidP="006D43D7">
                            <w:pPr>
                              <w:pStyle w:val="Subtitle"/>
                              <w:rPr>
                                <w:lang w:val="en-US"/>
                              </w:rPr>
                            </w:pPr>
                            <w:r w:rsidRPr="00E85823">
                              <w:rPr>
                                <w:lang w:val="en-US"/>
                              </w:rPr>
                              <w:t xml:space="preserve"> </w:t>
                            </w:r>
                            <w:r w:rsidR="00AF0AFB">
                              <w:rPr>
                                <w:lang w:val="en-US"/>
                              </w:rPr>
                              <w:t>USER GUIDE</w:t>
                            </w:r>
                            <w:r w:rsidR="00291927">
                              <w:rPr>
                                <w:lang w:val="en-US"/>
                              </w:rPr>
                              <w:t xml:space="preserve"> – version 2</w:t>
                            </w:r>
                          </w:p>
                          <w:p w14:paraId="40C09702" w14:textId="77777777" w:rsidR="00D05086" w:rsidRPr="0023676C" w:rsidRDefault="00D05086" w:rsidP="006D43D7">
                            <w:pPr>
                              <w:pStyle w:val="Subtitle"/>
                              <w:rPr>
                                <w:sz w:val="32"/>
                                <w:szCs w:val="32"/>
                                <w:lang w:val="en-GB"/>
                              </w:rPr>
                            </w:pPr>
                            <w:r w:rsidRPr="0023676C">
                              <w:rPr>
                                <w:sz w:val="32"/>
                                <w:szCs w:val="32"/>
                                <w:lang w:val="en-GB"/>
                              </w:rPr>
                              <w:t>VIABLE CITIES REPORT XXXX</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23955" id="_x0000_t202" coordsize="21600,21600" o:spt="202" path="m,l,21600r21600,l21600,xe">
                <v:stroke joinstyle="miter"/>
                <v:path gradientshapeok="t" o:connecttype="rect"/>
              </v:shapetype>
              <v:shape id="Text Box 26" o:spid="_x0000_s1026" type="#_x0000_t202" style="position:absolute;left:0;text-align:left;margin-left:160pt;margin-top:415.75pt;width:314.9pt;height:24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" filled="f" stroked="f" strokeweight=".5pt">
                <v:textbox inset="0,0,0,0">
                  <w:txbxContent>
                    <w:p w14:paraId="5669F144" w14:textId="531AE2D1" w:rsidR="00D05086" w:rsidRPr="008317E0" w:rsidRDefault="00AF0AFB" w:rsidP="006D43D7">
                      <w:pPr>
                        <w:pStyle w:val="Title"/>
                        <w:rPr>
                          <w:lang w:val="en-US"/>
                        </w:rPr>
                      </w:pPr>
                      <w:r>
                        <w:rPr>
                          <w:lang w:val="en-US"/>
                        </w:rPr>
                        <w:t>Climate investment planning for climate neutral cities</w:t>
                      </w:r>
                    </w:p>
                    <w:p w14:paraId="3959AFF8" w14:textId="4880B252" w:rsidR="00D05086" w:rsidRPr="00E85823" w:rsidRDefault="00D05086" w:rsidP="006D43D7">
                      <w:pPr>
                        <w:pStyle w:val="Subtitle"/>
                        <w:rPr>
                          <w:lang w:val="en-US"/>
                        </w:rPr>
                      </w:pPr>
                      <w:r w:rsidRPr="00E85823">
                        <w:rPr>
                          <w:lang w:val="en-US"/>
                        </w:rPr>
                        <w:t xml:space="preserve"> </w:t>
                      </w:r>
                      <w:r w:rsidR="00AF0AFB">
                        <w:rPr>
                          <w:lang w:val="en-US"/>
                        </w:rPr>
                        <w:t>USER GUIDE</w:t>
                      </w:r>
                      <w:r w:rsidR="00291927">
                        <w:rPr>
                          <w:lang w:val="en-US"/>
                        </w:rPr>
                        <w:t xml:space="preserve"> – version 2</w:t>
                      </w:r>
                    </w:p>
                    <w:p w14:paraId="40C09702" w14:textId="77777777" w:rsidR="00D05086" w:rsidRPr="0023676C" w:rsidRDefault="00D05086" w:rsidP="006D43D7">
                      <w:pPr>
                        <w:pStyle w:val="Subtitle"/>
                        <w:rPr>
                          <w:sz w:val="32"/>
                          <w:szCs w:val="32"/>
                          <w:lang w:val="en-GB"/>
                        </w:rPr>
                      </w:pPr>
                      <w:r w:rsidRPr="0023676C">
                        <w:rPr>
                          <w:sz w:val="32"/>
                          <w:szCs w:val="32"/>
                          <w:lang w:val="en-GB"/>
                        </w:rPr>
                        <w:t>VIABLE CITIES REPORT XXXX</w:t>
                      </w:r>
                    </w:p>
                  </w:txbxContent>
                </v:textbox>
              </v:shape>
            </w:pict>
          </mc:Fallback>
        </mc:AlternateContent>
      </w:r>
      <w:r w:rsidR="00716920" w:rsidRPr="00F61229">
        <w:rPr>
          <w:noProof/>
          <w:lang w:val="en-GB"/>
        </w:rPr>
        <mc:AlternateContent>
          <mc:Choice Requires="wps">
            <w:drawing>
              <wp:anchor distT="0" distB="0" distL="114300" distR="114300" simplePos="0" relativeHeight="251658242" behindDoc="0" locked="0" layoutInCell="1" allowOverlap="1" wp14:anchorId="0659DFFA" wp14:editId="2C4E4880">
                <wp:simplePos x="0" y="0"/>
                <wp:positionH relativeFrom="column">
                  <wp:posOffset>2981960</wp:posOffset>
                </wp:positionH>
                <wp:positionV relativeFrom="paragraph">
                  <wp:posOffset>-1264573</wp:posOffset>
                </wp:positionV>
                <wp:extent cx="3203826" cy="832861"/>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3203826" cy="832861"/>
                        </a:xfrm>
                        <a:prstGeom prst="rect">
                          <a:avLst/>
                        </a:prstGeom>
                        <a:noFill/>
                        <a:ln w="6350">
                          <a:noFill/>
                        </a:ln>
                      </wps:spPr>
                      <wps:txbx>
                        <w:txbxContent>
                          <w:p w14:paraId="405D6E6C" w14:textId="77777777" w:rsidR="00D05086" w:rsidRPr="00716920" w:rsidRDefault="00F61229" w:rsidP="00D05086">
                            <w:pPr>
                              <w:jc w:val="right"/>
                              <w:rPr>
                                <w:color w:val="FFFFFF" w:themeColor="background1"/>
                                <w:szCs w:val="22"/>
                                <w:lang w:val="en-US"/>
                              </w:rPr>
                            </w:pPr>
                            <w:r w:rsidRPr="003821FD">
                              <w:rPr>
                                <w:color w:val="FFFFFF" w:themeColor="background1"/>
                                <w:szCs w:val="22"/>
                                <w:lang w:val="en-US"/>
                              </w:rPr>
                              <w:t xml:space="preserve">A Swedish strategic innovation program jointly funded by the Swedish Energy Agency, </w:t>
                            </w:r>
                            <w:proofErr w:type="spellStart"/>
                            <w:r w:rsidRPr="003821FD">
                              <w:rPr>
                                <w:color w:val="FFFFFF" w:themeColor="background1"/>
                                <w:szCs w:val="22"/>
                                <w:lang w:val="en-US"/>
                              </w:rPr>
                              <w:t>Vinnova</w:t>
                            </w:r>
                            <w:proofErr w:type="spellEnd"/>
                            <w:r w:rsidRPr="003821FD">
                              <w:rPr>
                                <w:color w:val="FFFFFF" w:themeColor="background1"/>
                                <w:szCs w:val="22"/>
                                <w:lang w:val="en-US"/>
                              </w:rPr>
                              <w:t xml:space="preserve"> and </w:t>
                            </w:r>
                            <w:proofErr w:type="spellStart"/>
                            <w:r w:rsidRPr="003821FD">
                              <w:rPr>
                                <w:color w:val="FFFFFF" w:themeColor="background1"/>
                                <w:szCs w:val="22"/>
                                <w:lang w:val="en-US"/>
                              </w:rPr>
                              <w:t>Formas</w:t>
                            </w:r>
                            <w:proofErr w:type="spellEnd"/>
                            <w:r w:rsidRPr="003821FD">
                              <w:rPr>
                                <w:color w:val="FFFFFF" w:themeColor="background1"/>
                                <w:szCs w:val="2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9DFFA" id="Text Box 25" o:spid="_x0000_s1027" type="#_x0000_t202" style="position:absolute;left:0;text-align:left;margin-left:234.8pt;margin-top:-99.55pt;width:252.25pt;height:65.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" filled="f" stroked="f" strokeweight=".5pt">
                <v:textbox inset="0,0,0,0">
                  <w:txbxContent>
                    <w:p w14:paraId="405D6E6C" w14:textId="77777777" w:rsidR="00D05086" w:rsidRPr="00716920" w:rsidRDefault="00F61229" w:rsidP="00D05086">
                      <w:pPr>
                        <w:jc w:val="right"/>
                        <w:rPr>
                          <w:color w:val="FFFFFF" w:themeColor="background1"/>
                          <w:szCs w:val="22"/>
                          <w:lang w:val="en-US"/>
                        </w:rPr>
                      </w:pPr>
                      <w:r w:rsidRPr="003821FD">
                        <w:rPr>
                          <w:color w:val="FFFFFF" w:themeColor="background1"/>
                          <w:szCs w:val="22"/>
                          <w:lang w:val="en-US"/>
                        </w:rPr>
                        <w:t xml:space="preserve">A Swedish strategic innovation program jointly funded by the Swedish Energy Agency, </w:t>
                      </w:r>
                      <w:proofErr w:type="spellStart"/>
                      <w:r w:rsidRPr="003821FD">
                        <w:rPr>
                          <w:color w:val="FFFFFF" w:themeColor="background1"/>
                          <w:szCs w:val="22"/>
                          <w:lang w:val="en-US"/>
                        </w:rPr>
                        <w:t>Vinnova</w:t>
                      </w:r>
                      <w:proofErr w:type="spellEnd"/>
                      <w:r w:rsidRPr="003821FD">
                        <w:rPr>
                          <w:color w:val="FFFFFF" w:themeColor="background1"/>
                          <w:szCs w:val="22"/>
                          <w:lang w:val="en-US"/>
                        </w:rPr>
                        <w:t xml:space="preserve"> and </w:t>
                      </w:r>
                      <w:proofErr w:type="spellStart"/>
                      <w:r w:rsidRPr="003821FD">
                        <w:rPr>
                          <w:color w:val="FFFFFF" w:themeColor="background1"/>
                          <w:szCs w:val="22"/>
                          <w:lang w:val="en-US"/>
                        </w:rPr>
                        <w:t>Formas</w:t>
                      </w:r>
                      <w:proofErr w:type="spellEnd"/>
                      <w:r w:rsidRPr="003821FD">
                        <w:rPr>
                          <w:color w:val="FFFFFF" w:themeColor="background1"/>
                          <w:szCs w:val="22"/>
                          <w:lang w:val="en-US"/>
                        </w:rPr>
                        <w:t>.</w:t>
                      </w:r>
                    </w:p>
                  </w:txbxContent>
                </v:textbox>
              </v:shape>
            </w:pict>
          </mc:Fallback>
        </mc:AlternateContent>
      </w:r>
      <w:r w:rsidR="004271D7" w:rsidRPr="00F61229">
        <w:rPr>
          <w:lang w:val="en-GB"/>
        </w:rPr>
        <w:br w:type="page"/>
      </w:r>
    </w:p>
    <w:p w14:paraId="0A3A0DDC" w14:textId="77777777" w:rsidR="00AF0AFB" w:rsidRPr="00F61229" w:rsidRDefault="00AF0AFB" w:rsidP="00E20E52">
      <w:pPr>
        <w:pStyle w:val="NoSpacing"/>
        <w:spacing w:line="360" w:lineRule="auto"/>
        <w:contextualSpacing/>
        <w:jc w:val="both"/>
        <w:rPr>
          <w:lang w:val="en-GB"/>
        </w:rPr>
      </w:pPr>
      <w:r w:rsidRPr="00F61229">
        <w:rPr>
          <w:lang w:val="en-GB"/>
        </w:rPr>
        <w:t>Viable Cities viablecities.se</w:t>
      </w:r>
    </w:p>
    <w:p w14:paraId="70325CC1" w14:textId="203ACBFE" w:rsidR="00AF0AFB" w:rsidRPr="00F61229" w:rsidRDefault="00AF0AFB" w:rsidP="00E20E52">
      <w:pPr>
        <w:pStyle w:val="NoSpacing"/>
        <w:spacing w:line="360" w:lineRule="auto"/>
        <w:contextualSpacing/>
        <w:jc w:val="both"/>
        <w:rPr>
          <w:lang w:val="en-GB"/>
        </w:rPr>
      </w:pPr>
      <w:r w:rsidRPr="00F61229">
        <w:rPr>
          <w:lang w:val="en-GB"/>
        </w:rPr>
        <w:t xml:space="preserve">Title: </w:t>
      </w:r>
      <w:r>
        <w:rPr>
          <w:lang w:val="en-GB"/>
        </w:rPr>
        <w:t>Climate Investment Planning for climate neutral cities. User guide</w:t>
      </w:r>
      <w:r w:rsidR="003821FD">
        <w:rPr>
          <w:lang w:val="en-GB"/>
        </w:rPr>
        <w:t xml:space="preserve"> – version 2</w:t>
      </w:r>
    </w:p>
    <w:p w14:paraId="571D3BEB" w14:textId="6C5ADDE5" w:rsidR="00AF0AFB" w:rsidRDefault="00AF0AFB" w:rsidP="00E20E52">
      <w:pPr>
        <w:pStyle w:val="NoSpacing"/>
        <w:spacing w:line="360" w:lineRule="auto"/>
        <w:contextualSpacing/>
        <w:jc w:val="both"/>
        <w:rPr>
          <w:lang w:val="en-GB"/>
        </w:rPr>
      </w:pPr>
      <w:r w:rsidRPr="00F61229">
        <w:rPr>
          <w:lang w:val="en-GB"/>
        </w:rPr>
        <w:t xml:space="preserve">Author: </w:t>
      </w:r>
      <w:r w:rsidR="00104F1E">
        <w:rPr>
          <w:lang w:val="en-GB"/>
        </w:rPr>
        <w:t>Fedra Vanhuyse</w:t>
      </w:r>
      <w:r w:rsidR="00737763">
        <w:rPr>
          <w:lang w:val="en-GB"/>
        </w:rPr>
        <w:t xml:space="preserve">, Marcus Lindeberg Goñi, Gowtham Muthukumaran and </w:t>
      </w:r>
      <w:r w:rsidR="00104F1E">
        <w:rPr>
          <w:lang w:val="en-GB"/>
        </w:rPr>
        <w:t>Tommaso Piseddu</w:t>
      </w:r>
    </w:p>
    <w:p w14:paraId="17907E1D" w14:textId="2A9C96D5" w:rsidR="00AF0AFB" w:rsidRPr="00F61229" w:rsidRDefault="00AF0AFB" w:rsidP="00E20E52">
      <w:pPr>
        <w:pStyle w:val="NoSpacing"/>
        <w:spacing w:line="360" w:lineRule="auto"/>
        <w:contextualSpacing/>
        <w:jc w:val="both"/>
        <w:rPr>
          <w:lang w:val="en-GB"/>
        </w:rPr>
      </w:pPr>
      <w:r w:rsidRPr="00F61229">
        <w:rPr>
          <w:lang w:val="en-GB"/>
        </w:rPr>
        <w:t xml:space="preserve">Published: </w:t>
      </w:r>
      <w:r w:rsidR="00087F55">
        <w:rPr>
          <w:lang w:val="en-GB"/>
        </w:rPr>
        <w:t>September</w:t>
      </w:r>
      <w:r>
        <w:rPr>
          <w:lang w:val="en-GB"/>
        </w:rPr>
        <w:t xml:space="preserve"> 2023</w:t>
      </w:r>
      <w:r w:rsidRPr="00F61229">
        <w:rPr>
          <w:lang w:val="en-GB"/>
        </w:rPr>
        <w:t xml:space="preserve"> </w:t>
      </w:r>
    </w:p>
    <w:p w14:paraId="1D42ECEA" w14:textId="77777777" w:rsidR="00AF0AFB" w:rsidRDefault="00AF0AFB" w:rsidP="00E20E52">
      <w:pPr>
        <w:pStyle w:val="NoSpacing"/>
        <w:spacing w:line="360" w:lineRule="auto"/>
        <w:contextualSpacing/>
        <w:jc w:val="both"/>
        <w:rPr>
          <w:lang w:val="en-GB"/>
        </w:rPr>
      </w:pPr>
      <w:r w:rsidRPr="00F61229">
        <w:rPr>
          <w:lang w:val="en-GB"/>
        </w:rPr>
        <w:t>Publisher: Viable Cities</w:t>
      </w:r>
    </w:p>
    <w:p w14:paraId="2B878056" w14:textId="77777777" w:rsidR="00AF0AFB" w:rsidRPr="00F61229" w:rsidRDefault="00AF0AFB" w:rsidP="00E20E52">
      <w:pPr>
        <w:pStyle w:val="NoSpacing"/>
        <w:spacing w:line="360" w:lineRule="auto"/>
        <w:contextualSpacing/>
        <w:jc w:val="both"/>
        <w:rPr>
          <w:lang w:val="en-GB"/>
        </w:rPr>
      </w:pPr>
      <w:r w:rsidRPr="00F61229">
        <w:rPr>
          <w:lang w:val="en-GB"/>
        </w:rPr>
        <w:t>Registration number: 2017-008299</w:t>
      </w:r>
    </w:p>
    <w:p w14:paraId="1912E3A6" w14:textId="77777777" w:rsidR="00171D77" w:rsidRPr="00F61229" w:rsidRDefault="00171D77" w:rsidP="00E20E52">
      <w:pPr>
        <w:spacing w:after="0" w:line="360" w:lineRule="auto"/>
        <w:contextualSpacing/>
        <w:rPr>
          <w:lang w:val="en-GB"/>
        </w:rPr>
      </w:pPr>
    </w:p>
    <w:p w14:paraId="04B4077D" w14:textId="77777777" w:rsidR="00CB6DD8" w:rsidRPr="00F61229" w:rsidRDefault="00CB6DD8" w:rsidP="00E20E52">
      <w:pPr>
        <w:pStyle w:val="Heading0"/>
        <w:spacing w:before="0" w:after="0" w:line="360" w:lineRule="auto"/>
        <w:rPr>
          <w:lang w:val="en-GB"/>
        </w:rPr>
      </w:pPr>
      <w:r w:rsidRPr="00F61229">
        <w:rPr>
          <w:lang w:val="en-GB"/>
        </w:rPr>
        <w:t>About Viable Cities</w:t>
      </w:r>
    </w:p>
    <w:p w14:paraId="098FF206" w14:textId="5655771B" w:rsidR="00F61229" w:rsidRDefault="00F61229" w:rsidP="00E20E52">
      <w:pPr>
        <w:spacing w:after="0" w:line="360" w:lineRule="auto"/>
        <w:contextualSpacing/>
        <w:rPr>
          <w:lang w:val="en-GB"/>
        </w:rPr>
      </w:pPr>
      <w:r w:rsidRPr="00F61229">
        <w:rPr>
          <w:lang w:val="en-US"/>
        </w:rPr>
        <w:t xml:space="preserve">Viable Cities is a program for innovation enabling climate neutral and sustainable cities. The aim is to accelerate the transition to inclusive and climate neutral cities by 2030 with </w:t>
      </w:r>
      <w:r w:rsidR="00AF0AFB" w:rsidRPr="00F61229">
        <w:rPr>
          <w:lang w:val="en-US"/>
        </w:rPr>
        <w:t>digitalization</w:t>
      </w:r>
      <w:r w:rsidRPr="00F61229">
        <w:rPr>
          <w:lang w:val="en-US"/>
        </w:rPr>
        <w:t xml:space="preserve"> and citizen engagement as enablers. It is jointly funded by the Swedish Energy Agency, </w:t>
      </w:r>
      <w:proofErr w:type="spellStart"/>
      <w:r w:rsidRPr="00F61229">
        <w:rPr>
          <w:lang w:val="en-US"/>
        </w:rPr>
        <w:t>Vinnova</w:t>
      </w:r>
      <w:proofErr w:type="spellEnd"/>
      <w:r w:rsidRPr="00F61229">
        <w:rPr>
          <w:lang w:val="en-US"/>
        </w:rPr>
        <w:t xml:space="preserve"> and </w:t>
      </w:r>
      <w:proofErr w:type="spellStart"/>
      <w:r w:rsidRPr="00F61229">
        <w:rPr>
          <w:lang w:val="en-US"/>
        </w:rPr>
        <w:t>Formas</w:t>
      </w:r>
      <w:proofErr w:type="spellEnd"/>
      <w:r w:rsidRPr="00F61229">
        <w:rPr>
          <w:lang w:val="en-US"/>
        </w:rPr>
        <w:t xml:space="preserve">. Viable Cities </w:t>
      </w:r>
      <w:proofErr w:type="gramStart"/>
      <w:r w:rsidRPr="00F61229">
        <w:rPr>
          <w:lang w:val="en-US"/>
        </w:rPr>
        <w:t>is</w:t>
      </w:r>
      <w:proofErr w:type="gramEnd"/>
      <w:r w:rsidRPr="00F61229">
        <w:rPr>
          <w:lang w:val="en-US"/>
        </w:rPr>
        <w:t xml:space="preserve"> coordinated by KTH.</w:t>
      </w:r>
      <w:r w:rsidRPr="00F61229">
        <w:rPr>
          <w:lang w:val="en-GB"/>
        </w:rPr>
        <w:t xml:space="preserve"> </w:t>
      </w:r>
    </w:p>
    <w:p w14:paraId="724478B7" w14:textId="77777777" w:rsidR="00F61229" w:rsidRDefault="005530A8" w:rsidP="00E20E52">
      <w:pPr>
        <w:spacing w:after="0" w:line="360" w:lineRule="auto"/>
        <w:contextualSpacing/>
        <w:rPr>
          <w:rFonts w:ascii="Calibri" w:hAnsi="Calibri" w:cs="Calibri"/>
          <w:szCs w:val="22"/>
          <w:lang w:val="en-US"/>
        </w:rPr>
      </w:pPr>
      <w:r w:rsidRPr="00F61229">
        <w:rPr>
          <w:noProof/>
          <w:lang w:val="en-GB"/>
        </w:rPr>
        <mc:AlternateContent>
          <mc:Choice Requires="wps">
            <w:drawing>
              <wp:anchor distT="0" distB="0" distL="114300" distR="114300" simplePos="0" relativeHeight="251658244" behindDoc="0" locked="0" layoutInCell="1" allowOverlap="1" wp14:anchorId="4A3A3EEF" wp14:editId="378D2786">
                <wp:simplePos x="0" y="0"/>
                <wp:positionH relativeFrom="column">
                  <wp:posOffset>-387220</wp:posOffset>
                </wp:positionH>
                <wp:positionV relativeFrom="paragraph">
                  <wp:posOffset>5316855</wp:posOffset>
                </wp:positionV>
                <wp:extent cx="6574420" cy="639855"/>
                <wp:effectExtent l="0" t="0" r="4445" b="0"/>
                <wp:wrapNone/>
                <wp:docPr id="3" name="Text Box 3"/>
                <wp:cNvGraphicFramePr/>
                <a:graphic xmlns:a="http://schemas.openxmlformats.org/drawingml/2006/main">
                  <a:graphicData uri="http://schemas.microsoft.com/office/word/2010/wordprocessingShape">
                    <wps:wsp>
                      <wps:cNvSpPr txBox="1"/>
                      <wps:spPr>
                        <a:xfrm>
                          <a:off x="0" y="0"/>
                          <a:ext cx="6574420" cy="639855"/>
                        </a:xfrm>
                        <a:prstGeom prst="rect">
                          <a:avLst/>
                        </a:prstGeom>
                        <a:solidFill>
                          <a:schemeClr val="lt1"/>
                        </a:solidFill>
                        <a:ln w="6350">
                          <a:noFill/>
                        </a:ln>
                      </wps:spPr>
                      <wps:txbx>
                        <w:txbxContent>
                          <w:p w14:paraId="1210EB6C" w14:textId="77777777" w:rsidR="00643B64" w:rsidRDefault="00643B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A3EEF" id="Text Box 3" o:spid="_x0000_s1028" type="#_x0000_t202" style="position:absolute;margin-left:-30.5pt;margin-top:418.65pt;width:517.65pt;height:50.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" fillcolor="white [3201]" stroked="f" strokeweight=".5pt">
                <v:textbox>
                  <w:txbxContent>
                    <w:p w14:paraId="1210EB6C" w14:textId="77777777" w:rsidR="00643B64" w:rsidRDefault="00643B64"/>
                  </w:txbxContent>
                </v:textbox>
              </v:shape>
            </w:pict>
          </mc:Fallback>
        </mc:AlternateContent>
      </w:r>
      <w:r w:rsidR="00643B64" w:rsidRPr="00F61229">
        <w:rPr>
          <w:noProof/>
          <w:lang w:val="en-GB"/>
        </w:rPr>
        <mc:AlternateContent>
          <mc:Choice Requires="wps">
            <w:drawing>
              <wp:anchor distT="0" distB="0" distL="114300" distR="114300" simplePos="0" relativeHeight="251658245" behindDoc="0" locked="0" layoutInCell="1" allowOverlap="1" wp14:anchorId="3D320B35" wp14:editId="43E4CDB1">
                <wp:simplePos x="0" y="0"/>
                <wp:positionH relativeFrom="column">
                  <wp:posOffset>182639</wp:posOffset>
                </wp:positionH>
                <wp:positionV relativeFrom="paragraph">
                  <wp:posOffset>4944255</wp:posOffset>
                </wp:positionV>
                <wp:extent cx="5752842" cy="729205"/>
                <wp:effectExtent l="0" t="0" r="635" b="7620"/>
                <wp:wrapNone/>
                <wp:docPr id="11" name="Text Box 11"/>
                <wp:cNvGraphicFramePr/>
                <a:graphic xmlns:a="http://schemas.openxmlformats.org/drawingml/2006/main">
                  <a:graphicData uri="http://schemas.microsoft.com/office/word/2010/wordprocessingShape">
                    <wps:wsp>
                      <wps:cNvSpPr txBox="1"/>
                      <wps:spPr>
                        <a:xfrm>
                          <a:off x="0" y="0"/>
                          <a:ext cx="5752842" cy="729205"/>
                        </a:xfrm>
                        <a:prstGeom prst="rect">
                          <a:avLst/>
                        </a:prstGeom>
                        <a:noFill/>
                        <a:ln w="6350">
                          <a:noFill/>
                        </a:ln>
                      </wps:spPr>
                      <wps:txbx>
                        <w:txbxContent>
                          <w:p w14:paraId="3E4A8830" w14:textId="77777777" w:rsidR="00643B64" w:rsidRDefault="00643B64" w:rsidP="00643B64">
                            <w:pPr>
                              <w:jc w:val="right"/>
                            </w:pPr>
                            <w:r>
                              <w:t xml:space="preserve">  </w:t>
                            </w:r>
                            <w:r>
                              <w:rPr>
                                <w:noProof/>
                              </w:rPr>
                              <w:drawing>
                                <wp:inline distT="0" distB="0" distL="0" distR="0" wp14:anchorId="21DFFCF0" wp14:editId="28F73E88">
                                  <wp:extent cx="4246117" cy="63139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4246117" cy="631392"/>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20B35" id="Text Box 11" o:spid="_x0000_s1029" type="#_x0000_t202" style="position:absolute;margin-left:14.4pt;margin-top:389.3pt;width:453pt;height:57.4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" filled="f" stroked="f" strokeweight=".5pt">
                <v:textbox inset="0,0,0,0">
                  <w:txbxContent>
                    <w:p w14:paraId="3E4A8830" w14:textId="77777777" w:rsidR="00643B64" w:rsidRDefault="00643B64" w:rsidP="00643B64">
                      <w:pPr>
                        <w:jc w:val="right"/>
                      </w:pPr>
                      <w:r>
                        <w:t xml:space="preserve">  </w:t>
                      </w:r>
                      <w:r>
                        <w:rPr>
                          <w:noProof/>
                        </w:rPr>
                        <w:drawing>
                          <wp:inline distT="0" distB="0" distL="0" distR="0" wp14:anchorId="21DFFCF0" wp14:editId="28F73E88">
                            <wp:extent cx="4246117" cy="63139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4246117" cy="631392"/>
                                    </a:xfrm>
                                    <a:prstGeom prst="rect">
                                      <a:avLst/>
                                    </a:prstGeom>
                                  </pic:spPr>
                                </pic:pic>
                              </a:graphicData>
                            </a:graphic>
                          </wp:inline>
                        </w:drawing>
                      </w:r>
                    </w:p>
                  </w:txbxContent>
                </v:textbox>
              </v:shape>
            </w:pict>
          </mc:Fallback>
        </mc:AlternateContent>
      </w:r>
      <w:r w:rsidRPr="00F61229">
        <w:rPr>
          <w:lang w:val="en-GB"/>
        </w:rPr>
        <w:t>This publication can be downloaded for free on</w:t>
      </w:r>
      <w:r w:rsidR="00F61229">
        <w:rPr>
          <w:lang w:val="en-GB"/>
        </w:rPr>
        <w:t xml:space="preserve"> </w:t>
      </w:r>
      <w:hyperlink r:id="rId12" w:history="1">
        <w:r w:rsidR="00F61229" w:rsidRPr="00F61229">
          <w:rPr>
            <w:rStyle w:val="Hyperlink"/>
            <w:lang w:val="en-US"/>
          </w:rPr>
          <w:t>en.viablecities.se</w:t>
        </w:r>
      </w:hyperlink>
      <w:r w:rsidRPr="00F61229">
        <w:rPr>
          <w:lang w:val="en-GB"/>
        </w:rPr>
        <w:t xml:space="preserve">. </w:t>
      </w:r>
      <w:r w:rsidR="00F61229">
        <w:rPr>
          <w:rFonts w:ascii="Calibri" w:hAnsi="Calibri" w:cs="Calibri"/>
          <w:szCs w:val="22"/>
          <w:lang w:val="en-US"/>
        </w:rPr>
        <w:t xml:space="preserve">We use Creative </w:t>
      </w:r>
      <w:proofErr w:type="gramStart"/>
      <w:r w:rsidR="00F61229">
        <w:rPr>
          <w:rFonts w:ascii="Calibri" w:hAnsi="Calibri" w:cs="Calibri"/>
          <w:szCs w:val="22"/>
          <w:lang w:val="en-US"/>
        </w:rPr>
        <w:t>Commons,</w:t>
      </w:r>
      <w:proofErr w:type="gramEnd"/>
      <w:r w:rsidR="00F61229">
        <w:rPr>
          <w:rFonts w:ascii="Calibri" w:hAnsi="Calibri" w:cs="Calibri"/>
          <w:szCs w:val="22"/>
          <w:lang w:val="en-US"/>
        </w:rPr>
        <w:t xml:space="preserve"> it is allowed to copy and distribute the content for a non-profit purpose if the author and Viable Cities are mentioned as copyright owners. (Read more about creative commons here: </w:t>
      </w:r>
      <w:hyperlink r:id="rId13" w:history="1">
        <w:r w:rsidR="00F61229">
          <w:rPr>
            <w:rStyle w:val="Hyperlink"/>
            <w:rFonts w:ascii="Calibri" w:hAnsi="Calibri" w:cs="Calibri"/>
            <w:szCs w:val="22"/>
            <w:lang w:val="en-US"/>
          </w:rPr>
          <w:t>creativecommons.org/licenses/by-</w:t>
        </w:r>
        <w:proofErr w:type="spellStart"/>
        <w:r w:rsidR="00F61229">
          <w:rPr>
            <w:rStyle w:val="Hyperlink"/>
            <w:rFonts w:ascii="Calibri" w:hAnsi="Calibri" w:cs="Calibri"/>
            <w:szCs w:val="22"/>
            <w:lang w:val="en-US"/>
          </w:rPr>
          <w:t>nc</w:t>
        </w:r>
        <w:proofErr w:type="spellEnd"/>
        <w:r w:rsidR="00F61229">
          <w:rPr>
            <w:rStyle w:val="Hyperlink"/>
            <w:rFonts w:ascii="Calibri" w:hAnsi="Calibri" w:cs="Calibri"/>
            <w:szCs w:val="22"/>
            <w:lang w:val="en-US"/>
          </w:rPr>
          <w:t>-</w:t>
        </w:r>
        <w:proofErr w:type="spellStart"/>
        <w:r w:rsidR="00F61229">
          <w:rPr>
            <w:rStyle w:val="Hyperlink"/>
            <w:rFonts w:ascii="Calibri" w:hAnsi="Calibri" w:cs="Calibri"/>
            <w:szCs w:val="22"/>
            <w:lang w:val="en-US"/>
          </w:rPr>
          <w:t>nd</w:t>
        </w:r>
        <w:proofErr w:type="spellEnd"/>
        <w:r w:rsidR="00F61229">
          <w:rPr>
            <w:rStyle w:val="Hyperlink"/>
            <w:rFonts w:ascii="Calibri" w:hAnsi="Calibri" w:cs="Calibri"/>
            <w:szCs w:val="22"/>
            <w:lang w:val="en-US"/>
          </w:rPr>
          <w:t>/4.0</w:t>
        </w:r>
      </w:hyperlink>
      <w:r w:rsidR="00F61229">
        <w:rPr>
          <w:rFonts w:ascii="Calibri" w:hAnsi="Calibri" w:cs="Calibri"/>
          <w:szCs w:val="22"/>
          <w:lang w:val="en-US"/>
        </w:rPr>
        <w:t>) </w:t>
      </w:r>
    </w:p>
    <w:p w14:paraId="47D7E896" w14:textId="77777777" w:rsidR="005F7B3B" w:rsidRDefault="005F7B3B" w:rsidP="00E20E52">
      <w:pPr>
        <w:spacing w:after="0" w:line="360" w:lineRule="auto"/>
        <w:contextualSpacing/>
        <w:rPr>
          <w:lang w:val="en-US"/>
        </w:rPr>
      </w:pPr>
    </w:p>
    <w:p w14:paraId="41028FBE" w14:textId="77777777" w:rsidR="005F7B3B" w:rsidRDefault="005F7B3B" w:rsidP="00E20E52">
      <w:pPr>
        <w:spacing w:after="0" w:line="360" w:lineRule="auto"/>
        <w:contextualSpacing/>
        <w:rPr>
          <w:lang w:val="en-US"/>
        </w:rPr>
      </w:pPr>
    </w:p>
    <w:p w14:paraId="1A515048" w14:textId="77777777" w:rsidR="005F7B3B" w:rsidRDefault="005F7B3B" w:rsidP="00E20E52">
      <w:pPr>
        <w:spacing w:after="0" w:line="360" w:lineRule="auto"/>
        <w:contextualSpacing/>
        <w:rPr>
          <w:lang w:val="en-US"/>
        </w:rPr>
      </w:pPr>
    </w:p>
    <w:p w14:paraId="3C818EFB" w14:textId="77777777" w:rsidR="005F7B3B" w:rsidRPr="003B413A" w:rsidRDefault="005F7B3B" w:rsidP="00E20E52">
      <w:pPr>
        <w:spacing w:after="0" w:line="360" w:lineRule="auto"/>
        <w:contextualSpacing/>
        <w:rPr>
          <w:lang w:val="en-US"/>
        </w:rPr>
      </w:pPr>
      <w:r w:rsidRPr="003B413A">
        <w:rPr>
          <w:lang w:val="en-US"/>
        </w:rPr>
        <w:t xml:space="preserve">KTH Royal Institute of Technology | </w:t>
      </w:r>
      <w:proofErr w:type="spellStart"/>
      <w:r w:rsidRPr="003B413A">
        <w:rPr>
          <w:lang w:val="en-US"/>
        </w:rPr>
        <w:t>Teknikringen</w:t>
      </w:r>
      <w:proofErr w:type="spellEnd"/>
      <w:r w:rsidRPr="003B413A">
        <w:rPr>
          <w:lang w:val="en-US"/>
        </w:rPr>
        <w:t xml:space="preserve"> 10 B | SE-100 44 Stockholm</w:t>
      </w:r>
      <w:r w:rsidRPr="003B413A">
        <w:rPr>
          <w:lang w:val="en-US"/>
        </w:rPr>
        <w:br/>
        <w:t>en.viablecities.se</w:t>
      </w:r>
    </w:p>
    <w:p w14:paraId="51570F32" w14:textId="77777777" w:rsidR="005F7B3B" w:rsidRPr="0023676C" w:rsidRDefault="005F7B3B" w:rsidP="00E20E52">
      <w:pPr>
        <w:spacing w:after="0" w:line="360" w:lineRule="auto"/>
        <w:contextualSpacing/>
        <w:rPr>
          <w:rFonts w:cs="Times New Roman"/>
          <w:sz w:val="24"/>
          <w:lang w:val="en-GB"/>
        </w:rPr>
      </w:pPr>
    </w:p>
    <w:p w14:paraId="13EECD1B" w14:textId="77777777" w:rsidR="00CB6DD8" w:rsidRPr="0023676C" w:rsidRDefault="00CB6DD8" w:rsidP="00E20E52">
      <w:pPr>
        <w:spacing w:after="0" w:line="360" w:lineRule="auto"/>
        <w:contextualSpacing/>
        <w:rPr>
          <w:rFonts w:ascii="Georgia" w:hAnsi="Georgia"/>
          <w:lang w:val="en-GB"/>
        </w:rPr>
      </w:pPr>
      <w:r w:rsidRPr="00F61229">
        <w:rPr>
          <w:lang w:val="en-GB"/>
        </w:rPr>
        <w:br w:type="page"/>
      </w:r>
    </w:p>
    <w:p w14:paraId="101ADC35" w14:textId="77777777" w:rsidR="00AF0AFB" w:rsidRPr="00AF0AFB" w:rsidRDefault="00AF0AFB" w:rsidP="00E20E52">
      <w:pPr>
        <w:pStyle w:val="Heading0"/>
        <w:spacing w:before="0" w:after="0" w:line="360" w:lineRule="auto"/>
        <w:jc w:val="both"/>
      </w:pPr>
      <w:bookmarkStart w:id="0" w:name="_Toc75250781"/>
      <w:r w:rsidRPr="00AF0AFB">
        <w:t>Content</w:t>
      </w:r>
    </w:p>
    <w:p w14:paraId="58CBA235" w14:textId="0EDB269B" w:rsidR="00BD44C6" w:rsidRDefault="00AF0AFB">
      <w:pPr>
        <w:pStyle w:val="TOC1"/>
        <w:tabs>
          <w:tab w:val="left" w:pos="440"/>
          <w:tab w:val="right" w:leader="dot" w:pos="9016"/>
        </w:tabs>
        <w:rPr>
          <w:rFonts w:eastAsiaTheme="minorEastAsia" w:cstheme="minorBidi"/>
          <w:kern w:val="2"/>
          <w:szCs w:val="22"/>
          <w14:ligatures w14:val="standardContextual"/>
        </w:rPr>
      </w:pPr>
      <w:r w:rsidRPr="00AF0AFB">
        <w:rPr>
          <w:lang w:val="en-US"/>
        </w:rPr>
        <w:fldChar w:fldCharType="begin"/>
      </w:r>
      <w:r w:rsidRPr="00AF0AFB">
        <w:rPr>
          <w:lang w:val="en-US"/>
        </w:rPr>
        <w:instrText xml:space="preserve"> TOC \o "1-2" \h \z \u </w:instrText>
      </w:r>
      <w:r w:rsidRPr="00AF0AFB">
        <w:rPr>
          <w:lang w:val="en-US"/>
        </w:rPr>
        <w:fldChar w:fldCharType="separate"/>
      </w:r>
      <w:hyperlink w:anchor="_Toc144478178" w:history="1">
        <w:r w:rsidR="00BD44C6" w:rsidRPr="00EC3355">
          <w:rPr>
            <w:rStyle w:val="Hyperlink"/>
            <w:noProof/>
            <w:lang w:val="en-US"/>
          </w:rPr>
          <w:t>1.</w:t>
        </w:r>
        <w:r w:rsidR="00BD44C6">
          <w:rPr>
            <w:rFonts w:eastAsiaTheme="minorEastAsia" w:cstheme="minorBidi"/>
            <w:kern w:val="2"/>
            <w:szCs w:val="22"/>
            <w14:ligatures w14:val="standardContextual"/>
          </w:rPr>
          <w:tab/>
        </w:r>
        <w:r w:rsidR="00BD44C6" w:rsidRPr="00EC3355">
          <w:rPr>
            <w:rStyle w:val="Hyperlink"/>
            <w:noProof/>
            <w:lang w:val="en-US"/>
          </w:rPr>
          <w:t>Introduction</w:t>
        </w:r>
        <w:r w:rsidR="00BD44C6">
          <w:rPr>
            <w:noProof/>
            <w:webHidden/>
          </w:rPr>
          <w:tab/>
        </w:r>
        <w:r w:rsidR="00BD44C6">
          <w:rPr>
            <w:noProof/>
            <w:webHidden/>
          </w:rPr>
          <w:fldChar w:fldCharType="begin"/>
        </w:r>
        <w:r w:rsidR="00BD44C6">
          <w:rPr>
            <w:noProof/>
            <w:webHidden/>
          </w:rPr>
          <w:instrText xml:space="preserve"> PAGEREF _Toc144478178 \h </w:instrText>
        </w:r>
        <w:r w:rsidR="00BD44C6">
          <w:rPr>
            <w:noProof/>
            <w:webHidden/>
          </w:rPr>
        </w:r>
        <w:r w:rsidR="00BD44C6">
          <w:rPr>
            <w:noProof/>
            <w:webHidden/>
          </w:rPr>
          <w:fldChar w:fldCharType="separate"/>
        </w:r>
        <w:r w:rsidR="00C80739">
          <w:rPr>
            <w:noProof/>
            <w:webHidden/>
          </w:rPr>
          <w:t>4</w:t>
        </w:r>
        <w:r w:rsidR="00BD44C6">
          <w:rPr>
            <w:noProof/>
            <w:webHidden/>
          </w:rPr>
          <w:fldChar w:fldCharType="end"/>
        </w:r>
      </w:hyperlink>
    </w:p>
    <w:p w14:paraId="171AA565" w14:textId="1A49F1C6" w:rsidR="00BD44C6" w:rsidRDefault="008A0DF5">
      <w:pPr>
        <w:pStyle w:val="TOC2"/>
        <w:tabs>
          <w:tab w:val="left" w:pos="880"/>
          <w:tab w:val="right" w:leader="dot" w:pos="9016"/>
        </w:tabs>
        <w:rPr>
          <w:rFonts w:eastAsiaTheme="minorEastAsia" w:cstheme="minorBidi"/>
          <w:kern w:val="2"/>
          <w:szCs w:val="22"/>
          <w14:ligatures w14:val="standardContextual"/>
        </w:rPr>
      </w:pPr>
      <w:hyperlink w:anchor="_Toc144478179" w:history="1">
        <w:r w:rsidR="00BD44C6" w:rsidRPr="00EC3355">
          <w:rPr>
            <w:rStyle w:val="Hyperlink"/>
            <w:noProof/>
            <w:lang w:val="en-US"/>
          </w:rPr>
          <w:t>1.1.</w:t>
        </w:r>
        <w:r w:rsidR="00BD44C6">
          <w:rPr>
            <w:rFonts w:eastAsiaTheme="minorEastAsia" w:cstheme="minorBidi"/>
            <w:kern w:val="2"/>
            <w:szCs w:val="22"/>
            <w14:ligatures w14:val="standardContextual"/>
          </w:rPr>
          <w:tab/>
        </w:r>
        <w:r w:rsidR="00BD44C6" w:rsidRPr="00EC3355">
          <w:rPr>
            <w:rStyle w:val="Hyperlink"/>
            <w:noProof/>
            <w:lang w:val="en-US"/>
          </w:rPr>
          <w:t>About the dashboard</w:t>
        </w:r>
        <w:r w:rsidR="00BD44C6">
          <w:rPr>
            <w:noProof/>
            <w:webHidden/>
          </w:rPr>
          <w:tab/>
        </w:r>
        <w:r w:rsidR="00BD44C6">
          <w:rPr>
            <w:noProof/>
            <w:webHidden/>
          </w:rPr>
          <w:fldChar w:fldCharType="begin"/>
        </w:r>
        <w:r w:rsidR="00BD44C6">
          <w:rPr>
            <w:noProof/>
            <w:webHidden/>
          </w:rPr>
          <w:instrText xml:space="preserve"> PAGEREF _Toc144478179 \h </w:instrText>
        </w:r>
        <w:r w:rsidR="00BD44C6">
          <w:rPr>
            <w:noProof/>
            <w:webHidden/>
          </w:rPr>
        </w:r>
        <w:r w:rsidR="00BD44C6">
          <w:rPr>
            <w:noProof/>
            <w:webHidden/>
          </w:rPr>
          <w:fldChar w:fldCharType="separate"/>
        </w:r>
        <w:r w:rsidR="00C80739">
          <w:rPr>
            <w:noProof/>
            <w:webHidden/>
          </w:rPr>
          <w:t>4</w:t>
        </w:r>
        <w:r w:rsidR="00BD44C6">
          <w:rPr>
            <w:noProof/>
            <w:webHidden/>
          </w:rPr>
          <w:fldChar w:fldCharType="end"/>
        </w:r>
      </w:hyperlink>
    </w:p>
    <w:p w14:paraId="7447DADF" w14:textId="4E879897" w:rsidR="00BD44C6" w:rsidRDefault="008A0DF5">
      <w:pPr>
        <w:pStyle w:val="TOC2"/>
        <w:tabs>
          <w:tab w:val="left" w:pos="880"/>
          <w:tab w:val="right" w:leader="dot" w:pos="9016"/>
        </w:tabs>
        <w:rPr>
          <w:rFonts w:eastAsiaTheme="minorEastAsia" w:cstheme="minorBidi"/>
          <w:kern w:val="2"/>
          <w:szCs w:val="22"/>
          <w14:ligatures w14:val="standardContextual"/>
        </w:rPr>
      </w:pPr>
      <w:hyperlink w:anchor="_Toc144478180" w:history="1">
        <w:r w:rsidR="00BD44C6" w:rsidRPr="00EC3355">
          <w:rPr>
            <w:rStyle w:val="Hyperlink"/>
            <w:noProof/>
            <w:lang w:val="en-US"/>
          </w:rPr>
          <w:t>1.2.</w:t>
        </w:r>
        <w:r w:rsidR="00BD44C6">
          <w:rPr>
            <w:rFonts w:eastAsiaTheme="minorEastAsia" w:cstheme="minorBidi"/>
            <w:kern w:val="2"/>
            <w:szCs w:val="22"/>
            <w14:ligatures w14:val="standardContextual"/>
          </w:rPr>
          <w:tab/>
        </w:r>
        <w:r w:rsidR="00BD44C6" w:rsidRPr="00EC3355">
          <w:rPr>
            <w:rStyle w:val="Hyperlink"/>
            <w:noProof/>
            <w:lang w:val="en-US"/>
          </w:rPr>
          <w:t>August 2023 update</w:t>
        </w:r>
        <w:r w:rsidR="00BD44C6">
          <w:rPr>
            <w:noProof/>
            <w:webHidden/>
          </w:rPr>
          <w:tab/>
        </w:r>
        <w:r w:rsidR="00BD44C6">
          <w:rPr>
            <w:noProof/>
            <w:webHidden/>
          </w:rPr>
          <w:fldChar w:fldCharType="begin"/>
        </w:r>
        <w:r w:rsidR="00BD44C6">
          <w:rPr>
            <w:noProof/>
            <w:webHidden/>
          </w:rPr>
          <w:instrText xml:space="preserve"> PAGEREF _Toc144478180 \h </w:instrText>
        </w:r>
        <w:r w:rsidR="00BD44C6">
          <w:rPr>
            <w:noProof/>
            <w:webHidden/>
          </w:rPr>
        </w:r>
        <w:r w:rsidR="00BD44C6">
          <w:rPr>
            <w:noProof/>
            <w:webHidden/>
          </w:rPr>
          <w:fldChar w:fldCharType="separate"/>
        </w:r>
        <w:r w:rsidR="00C80739">
          <w:rPr>
            <w:noProof/>
            <w:webHidden/>
          </w:rPr>
          <w:t>5</w:t>
        </w:r>
        <w:r w:rsidR="00BD44C6">
          <w:rPr>
            <w:noProof/>
            <w:webHidden/>
          </w:rPr>
          <w:fldChar w:fldCharType="end"/>
        </w:r>
      </w:hyperlink>
    </w:p>
    <w:p w14:paraId="03A48C49" w14:textId="66A16AA9" w:rsidR="00BD44C6" w:rsidRDefault="008A0DF5">
      <w:pPr>
        <w:pStyle w:val="TOC1"/>
        <w:tabs>
          <w:tab w:val="left" w:pos="440"/>
          <w:tab w:val="right" w:leader="dot" w:pos="9016"/>
        </w:tabs>
        <w:rPr>
          <w:rFonts w:eastAsiaTheme="minorEastAsia" w:cstheme="minorBidi"/>
          <w:kern w:val="2"/>
          <w:szCs w:val="22"/>
          <w14:ligatures w14:val="standardContextual"/>
        </w:rPr>
      </w:pPr>
      <w:hyperlink w:anchor="_Toc144478181" w:history="1">
        <w:r w:rsidR="00BD44C6" w:rsidRPr="00EC3355">
          <w:rPr>
            <w:rStyle w:val="Hyperlink"/>
            <w:noProof/>
            <w:lang w:val="en-US"/>
          </w:rPr>
          <w:t>2.</w:t>
        </w:r>
        <w:r w:rsidR="00BD44C6">
          <w:rPr>
            <w:rFonts w:eastAsiaTheme="minorEastAsia" w:cstheme="minorBidi"/>
            <w:kern w:val="2"/>
            <w:szCs w:val="22"/>
            <w14:ligatures w14:val="standardContextual"/>
          </w:rPr>
          <w:tab/>
        </w:r>
        <w:r w:rsidR="00BD44C6" w:rsidRPr="00EC3355">
          <w:rPr>
            <w:rStyle w:val="Hyperlink"/>
            <w:noProof/>
            <w:lang w:val="en-US"/>
          </w:rPr>
          <w:t>The model and the data</w:t>
        </w:r>
        <w:r w:rsidR="00BD44C6">
          <w:rPr>
            <w:noProof/>
            <w:webHidden/>
          </w:rPr>
          <w:tab/>
        </w:r>
        <w:r w:rsidR="00BD44C6">
          <w:rPr>
            <w:noProof/>
            <w:webHidden/>
          </w:rPr>
          <w:fldChar w:fldCharType="begin"/>
        </w:r>
        <w:r w:rsidR="00BD44C6">
          <w:rPr>
            <w:noProof/>
            <w:webHidden/>
          </w:rPr>
          <w:instrText xml:space="preserve"> PAGEREF _Toc144478181 \h </w:instrText>
        </w:r>
        <w:r w:rsidR="00BD44C6">
          <w:rPr>
            <w:noProof/>
            <w:webHidden/>
          </w:rPr>
        </w:r>
        <w:r w:rsidR="00BD44C6">
          <w:rPr>
            <w:noProof/>
            <w:webHidden/>
          </w:rPr>
          <w:fldChar w:fldCharType="separate"/>
        </w:r>
        <w:r w:rsidR="00C80739">
          <w:rPr>
            <w:noProof/>
            <w:webHidden/>
          </w:rPr>
          <w:t>6</w:t>
        </w:r>
        <w:r w:rsidR="00BD44C6">
          <w:rPr>
            <w:noProof/>
            <w:webHidden/>
          </w:rPr>
          <w:fldChar w:fldCharType="end"/>
        </w:r>
      </w:hyperlink>
    </w:p>
    <w:p w14:paraId="5AA675F4" w14:textId="7DED256C" w:rsidR="00BD44C6" w:rsidRDefault="008A0DF5">
      <w:pPr>
        <w:pStyle w:val="TOC2"/>
        <w:tabs>
          <w:tab w:val="left" w:pos="880"/>
          <w:tab w:val="right" w:leader="dot" w:pos="9016"/>
        </w:tabs>
        <w:rPr>
          <w:rFonts w:eastAsiaTheme="minorEastAsia" w:cstheme="minorBidi"/>
          <w:kern w:val="2"/>
          <w:szCs w:val="22"/>
          <w14:ligatures w14:val="standardContextual"/>
        </w:rPr>
      </w:pPr>
      <w:hyperlink w:anchor="_Toc144478182" w:history="1">
        <w:r w:rsidR="00BD44C6" w:rsidRPr="00EC3355">
          <w:rPr>
            <w:rStyle w:val="Hyperlink"/>
            <w:noProof/>
            <w:lang w:val="en-US"/>
          </w:rPr>
          <w:t>2.1.</w:t>
        </w:r>
        <w:r w:rsidR="00BD44C6">
          <w:rPr>
            <w:rFonts w:eastAsiaTheme="minorEastAsia" w:cstheme="minorBidi"/>
            <w:kern w:val="2"/>
            <w:szCs w:val="22"/>
            <w14:ligatures w14:val="standardContextual"/>
          </w:rPr>
          <w:tab/>
        </w:r>
        <w:r w:rsidR="00BD44C6" w:rsidRPr="00EC3355">
          <w:rPr>
            <w:rStyle w:val="Hyperlink"/>
            <w:noProof/>
            <w:lang w:val="en-US"/>
          </w:rPr>
          <w:t>The model structure</w:t>
        </w:r>
        <w:r w:rsidR="00BD44C6">
          <w:rPr>
            <w:noProof/>
            <w:webHidden/>
          </w:rPr>
          <w:tab/>
        </w:r>
        <w:r w:rsidR="00BD44C6">
          <w:rPr>
            <w:noProof/>
            <w:webHidden/>
          </w:rPr>
          <w:fldChar w:fldCharType="begin"/>
        </w:r>
        <w:r w:rsidR="00BD44C6">
          <w:rPr>
            <w:noProof/>
            <w:webHidden/>
          </w:rPr>
          <w:instrText xml:space="preserve"> PAGEREF _Toc144478182 \h </w:instrText>
        </w:r>
        <w:r w:rsidR="00BD44C6">
          <w:rPr>
            <w:noProof/>
            <w:webHidden/>
          </w:rPr>
        </w:r>
        <w:r w:rsidR="00BD44C6">
          <w:rPr>
            <w:noProof/>
            <w:webHidden/>
          </w:rPr>
          <w:fldChar w:fldCharType="separate"/>
        </w:r>
        <w:r w:rsidR="00C80739">
          <w:rPr>
            <w:noProof/>
            <w:webHidden/>
          </w:rPr>
          <w:t>6</w:t>
        </w:r>
        <w:r w:rsidR="00BD44C6">
          <w:rPr>
            <w:noProof/>
            <w:webHidden/>
          </w:rPr>
          <w:fldChar w:fldCharType="end"/>
        </w:r>
      </w:hyperlink>
    </w:p>
    <w:p w14:paraId="3F07FCA3" w14:textId="59D8678D" w:rsidR="00BD44C6" w:rsidRDefault="008A0DF5">
      <w:pPr>
        <w:pStyle w:val="TOC2"/>
        <w:tabs>
          <w:tab w:val="left" w:pos="880"/>
          <w:tab w:val="right" w:leader="dot" w:pos="9016"/>
        </w:tabs>
        <w:rPr>
          <w:rFonts w:eastAsiaTheme="minorEastAsia" w:cstheme="minorBidi"/>
          <w:kern w:val="2"/>
          <w:szCs w:val="22"/>
          <w14:ligatures w14:val="standardContextual"/>
        </w:rPr>
      </w:pPr>
      <w:hyperlink w:anchor="_Toc144478183" w:history="1">
        <w:r w:rsidR="00BD44C6" w:rsidRPr="00EC3355">
          <w:rPr>
            <w:rStyle w:val="Hyperlink"/>
            <w:noProof/>
            <w:lang w:val="en-US"/>
          </w:rPr>
          <w:t>2.2.</w:t>
        </w:r>
        <w:r w:rsidR="00BD44C6">
          <w:rPr>
            <w:rFonts w:eastAsiaTheme="minorEastAsia" w:cstheme="minorBidi"/>
            <w:kern w:val="2"/>
            <w:szCs w:val="22"/>
            <w14:ligatures w14:val="standardContextual"/>
          </w:rPr>
          <w:tab/>
        </w:r>
        <w:r w:rsidR="00BD44C6" w:rsidRPr="00EC3355">
          <w:rPr>
            <w:rStyle w:val="Hyperlink"/>
            <w:noProof/>
            <w:lang w:val="en-US"/>
          </w:rPr>
          <w:t>The forecasts for 2030 emissions</w:t>
        </w:r>
        <w:r w:rsidR="00BD44C6">
          <w:rPr>
            <w:noProof/>
            <w:webHidden/>
          </w:rPr>
          <w:tab/>
        </w:r>
        <w:r w:rsidR="00BD44C6">
          <w:rPr>
            <w:noProof/>
            <w:webHidden/>
          </w:rPr>
          <w:fldChar w:fldCharType="begin"/>
        </w:r>
        <w:r w:rsidR="00BD44C6">
          <w:rPr>
            <w:noProof/>
            <w:webHidden/>
          </w:rPr>
          <w:instrText xml:space="preserve"> PAGEREF _Toc144478183 \h </w:instrText>
        </w:r>
        <w:r w:rsidR="00BD44C6">
          <w:rPr>
            <w:noProof/>
            <w:webHidden/>
          </w:rPr>
        </w:r>
        <w:r w:rsidR="00BD44C6">
          <w:rPr>
            <w:noProof/>
            <w:webHidden/>
          </w:rPr>
          <w:fldChar w:fldCharType="separate"/>
        </w:r>
        <w:r w:rsidR="00C80739">
          <w:rPr>
            <w:noProof/>
            <w:webHidden/>
          </w:rPr>
          <w:t>11</w:t>
        </w:r>
        <w:r w:rsidR="00BD44C6">
          <w:rPr>
            <w:noProof/>
            <w:webHidden/>
          </w:rPr>
          <w:fldChar w:fldCharType="end"/>
        </w:r>
      </w:hyperlink>
    </w:p>
    <w:p w14:paraId="3073E1BE" w14:textId="2C690549" w:rsidR="00BD44C6" w:rsidRDefault="008A0DF5">
      <w:pPr>
        <w:pStyle w:val="TOC2"/>
        <w:tabs>
          <w:tab w:val="left" w:pos="880"/>
          <w:tab w:val="right" w:leader="dot" w:pos="9016"/>
        </w:tabs>
        <w:rPr>
          <w:rFonts w:eastAsiaTheme="minorEastAsia" w:cstheme="minorBidi"/>
          <w:kern w:val="2"/>
          <w:szCs w:val="22"/>
          <w14:ligatures w14:val="standardContextual"/>
        </w:rPr>
      </w:pPr>
      <w:hyperlink w:anchor="_Toc144478184" w:history="1">
        <w:r w:rsidR="00BD44C6" w:rsidRPr="00EC3355">
          <w:rPr>
            <w:rStyle w:val="Hyperlink"/>
            <w:noProof/>
            <w:lang w:val="en-US"/>
          </w:rPr>
          <w:t>2.3.</w:t>
        </w:r>
        <w:r w:rsidR="00BD44C6">
          <w:rPr>
            <w:rFonts w:eastAsiaTheme="minorEastAsia" w:cstheme="minorBidi"/>
            <w:kern w:val="2"/>
            <w:szCs w:val="22"/>
            <w14:ligatures w14:val="standardContextual"/>
          </w:rPr>
          <w:tab/>
        </w:r>
        <w:r w:rsidR="00BD44C6" w:rsidRPr="00EC3355">
          <w:rPr>
            <w:rStyle w:val="Hyperlink"/>
            <w:noProof/>
            <w:lang w:val="en-US"/>
          </w:rPr>
          <w:t>The model’s assumptions</w:t>
        </w:r>
        <w:r w:rsidR="00BD44C6">
          <w:rPr>
            <w:noProof/>
            <w:webHidden/>
          </w:rPr>
          <w:tab/>
        </w:r>
        <w:r w:rsidR="00BD44C6">
          <w:rPr>
            <w:noProof/>
            <w:webHidden/>
          </w:rPr>
          <w:fldChar w:fldCharType="begin"/>
        </w:r>
        <w:r w:rsidR="00BD44C6">
          <w:rPr>
            <w:noProof/>
            <w:webHidden/>
          </w:rPr>
          <w:instrText xml:space="preserve"> PAGEREF _Toc144478184 \h </w:instrText>
        </w:r>
        <w:r w:rsidR="00BD44C6">
          <w:rPr>
            <w:noProof/>
            <w:webHidden/>
          </w:rPr>
        </w:r>
        <w:r w:rsidR="00BD44C6">
          <w:rPr>
            <w:noProof/>
            <w:webHidden/>
          </w:rPr>
          <w:fldChar w:fldCharType="separate"/>
        </w:r>
        <w:r w:rsidR="00C80739">
          <w:rPr>
            <w:noProof/>
            <w:webHidden/>
          </w:rPr>
          <w:t>13</w:t>
        </w:r>
        <w:r w:rsidR="00BD44C6">
          <w:rPr>
            <w:noProof/>
            <w:webHidden/>
          </w:rPr>
          <w:fldChar w:fldCharType="end"/>
        </w:r>
      </w:hyperlink>
    </w:p>
    <w:p w14:paraId="68A7F868" w14:textId="1882BC67" w:rsidR="00BD44C6" w:rsidRDefault="008A0DF5">
      <w:pPr>
        <w:pStyle w:val="TOC2"/>
        <w:tabs>
          <w:tab w:val="left" w:pos="880"/>
          <w:tab w:val="right" w:leader="dot" w:pos="9016"/>
        </w:tabs>
        <w:rPr>
          <w:rFonts w:eastAsiaTheme="minorEastAsia" w:cstheme="minorBidi"/>
          <w:kern w:val="2"/>
          <w:szCs w:val="22"/>
          <w14:ligatures w14:val="standardContextual"/>
        </w:rPr>
      </w:pPr>
      <w:hyperlink w:anchor="_Toc144478185" w:history="1">
        <w:r w:rsidR="00BD44C6" w:rsidRPr="00EC3355">
          <w:rPr>
            <w:rStyle w:val="Hyperlink"/>
            <w:noProof/>
          </w:rPr>
          <w:t>2.4.</w:t>
        </w:r>
        <w:r w:rsidR="00BD44C6">
          <w:rPr>
            <w:rFonts w:eastAsiaTheme="minorEastAsia" w:cstheme="minorBidi"/>
            <w:kern w:val="2"/>
            <w:szCs w:val="22"/>
            <w14:ligatures w14:val="standardContextual"/>
          </w:rPr>
          <w:tab/>
        </w:r>
        <w:r w:rsidR="00BD44C6" w:rsidRPr="00EC3355">
          <w:rPr>
            <w:rStyle w:val="Hyperlink"/>
            <w:noProof/>
          </w:rPr>
          <w:t>Missing a climate mitigation measure or lever?</w:t>
        </w:r>
        <w:r w:rsidR="00BD44C6">
          <w:rPr>
            <w:noProof/>
            <w:webHidden/>
          </w:rPr>
          <w:tab/>
        </w:r>
        <w:r w:rsidR="00BD44C6">
          <w:rPr>
            <w:noProof/>
            <w:webHidden/>
          </w:rPr>
          <w:fldChar w:fldCharType="begin"/>
        </w:r>
        <w:r w:rsidR="00BD44C6">
          <w:rPr>
            <w:noProof/>
            <w:webHidden/>
          </w:rPr>
          <w:instrText xml:space="preserve"> PAGEREF _Toc144478185 \h </w:instrText>
        </w:r>
        <w:r w:rsidR="00BD44C6">
          <w:rPr>
            <w:noProof/>
            <w:webHidden/>
          </w:rPr>
        </w:r>
        <w:r w:rsidR="00BD44C6">
          <w:rPr>
            <w:noProof/>
            <w:webHidden/>
          </w:rPr>
          <w:fldChar w:fldCharType="separate"/>
        </w:r>
        <w:r w:rsidR="00C80739">
          <w:rPr>
            <w:noProof/>
            <w:webHidden/>
          </w:rPr>
          <w:t>17</w:t>
        </w:r>
        <w:r w:rsidR="00BD44C6">
          <w:rPr>
            <w:noProof/>
            <w:webHidden/>
          </w:rPr>
          <w:fldChar w:fldCharType="end"/>
        </w:r>
      </w:hyperlink>
    </w:p>
    <w:p w14:paraId="0EF1AB70" w14:textId="2D5A4586" w:rsidR="00BD44C6" w:rsidRDefault="008A0DF5">
      <w:pPr>
        <w:pStyle w:val="TOC1"/>
        <w:tabs>
          <w:tab w:val="left" w:pos="440"/>
          <w:tab w:val="right" w:leader="dot" w:pos="9016"/>
        </w:tabs>
        <w:rPr>
          <w:rFonts w:eastAsiaTheme="minorEastAsia" w:cstheme="minorBidi"/>
          <w:kern w:val="2"/>
          <w:szCs w:val="22"/>
          <w14:ligatures w14:val="standardContextual"/>
        </w:rPr>
      </w:pPr>
      <w:hyperlink w:anchor="_Toc144478186" w:history="1">
        <w:r w:rsidR="00BD44C6" w:rsidRPr="00EC3355">
          <w:rPr>
            <w:rStyle w:val="Hyperlink"/>
            <w:noProof/>
            <w:lang w:val="en-US"/>
          </w:rPr>
          <w:t>3.</w:t>
        </w:r>
        <w:r w:rsidR="00BD44C6">
          <w:rPr>
            <w:rFonts w:eastAsiaTheme="minorEastAsia" w:cstheme="minorBidi"/>
            <w:kern w:val="2"/>
            <w:szCs w:val="22"/>
            <w14:ligatures w14:val="standardContextual"/>
          </w:rPr>
          <w:tab/>
        </w:r>
        <w:r w:rsidR="00BD44C6" w:rsidRPr="00EC3355">
          <w:rPr>
            <w:rStyle w:val="Hyperlink"/>
            <w:noProof/>
            <w:lang w:val="en-US"/>
          </w:rPr>
          <w:t>How to use the tool</w:t>
        </w:r>
        <w:r w:rsidR="00BD44C6">
          <w:rPr>
            <w:noProof/>
            <w:webHidden/>
          </w:rPr>
          <w:tab/>
        </w:r>
        <w:r w:rsidR="00BD44C6">
          <w:rPr>
            <w:noProof/>
            <w:webHidden/>
          </w:rPr>
          <w:fldChar w:fldCharType="begin"/>
        </w:r>
        <w:r w:rsidR="00BD44C6">
          <w:rPr>
            <w:noProof/>
            <w:webHidden/>
          </w:rPr>
          <w:instrText xml:space="preserve"> PAGEREF _Toc144478186 \h </w:instrText>
        </w:r>
        <w:r w:rsidR="00BD44C6">
          <w:rPr>
            <w:noProof/>
            <w:webHidden/>
          </w:rPr>
        </w:r>
        <w:r w:rsidR="00BD44C6">
          <w:rPr>
            <w:noProof/>
            <w:webHidden/>
          </w:rPr>
          <w:fldChar w:fldCharType="separate"/>
        </w:r>
        <w:r w:rsidR="00C80739">
          <w:rPr>
            <w:noProof/>
            <w:webHidden/>
          </w:rPr>
          <w:t>18</w:t>
        </w:r>
        <w:r w:rsidR="00BD44C6">
          <w:rPr>
            <w:noProof/>
            <w:webHidden/>
          </w:rPr>
          <w:fldChar w:fldCharType="end"/>
        </w:r>
      </w:hyperlink>
    </w:p>
    <w:p w14:paraId="684AB29D" w14:textId="1173AE93" w:rsidR="00BD44C6" w:rsidRDefault="008A0DF5">
      <w:pPr>
        <w:pStyle w:val="TOC2"/>
        <w:tabs>
          <w:tab w:val="left" w:pos="880"/>
          <w:tab w:val="right" w:leader="dot" w:pos="9016"/>
        </w:tabs>
        <w:rPr>
          <w:rFonts w:eastAsiaTheme="minorEastAsia" w:cstheme="minorBidi"/>
          <w:kern w:val="2"/>
          <w:szCs w:val="22"/>
          <w14:ligatures w14:val="standardContextual"/>
        </w:rPr>
      </w:pPr>
      <w:hyperlink w:anchor="_Toc144478187" w:history="1">
        <w:r w:rsidR="00BD44C6" w:rsidRPr="00EC3355">
          <w:rPr>
            <w:rStyle w:val="Hyperlink"/>
            <w:noProof/>
            <w:lang w:val="en-US"/>
          </w:rPr>
          <w:t>3.1.</w:t>
        </w:r>
        <w:r w:rsidR="00BD44C6">
          <w:rPr>
            <w:rFonts w:eastAsiaTheme="minorEastAsia" w:cstheme="minorBidi"/>
            <w:kern w:val="2"/>
            <w:szCs w:val="22"/>
            <w14:ligatures w14:val="standardContextual"/>
          </w:rPr>
          <w:tab/>
        </w:r>
        <w:r w:rsidR="00BD44C6" w:rsidRPr="00EC3355">
          <w:rPr>
            <w:rStyle w:val="Hyperlink"/>
            <w:noProof/>
            <w:lang w:val="en-US"/>
          </w:rPr>
          <w:t>How to interact with the dashboard</w:t>
        </w:r>
        <w:r w:rsidR="00BD44C6">
          <w:rPr>
            <w:noProof/>
            <w:webHidden/>
          </w:rPr>
          <w:tab/>
        </w:r>
        <w:r w:rsidR="00BD44C6">
          <w:rPr>
            <w:noProof/>
            <w:webHidden/>
          </w:rPr>
          <w:fldChar w:fldCharType="begin"/>
        </w:r>
        <w:r w:rsidR="00BD44C6">
          <w:rPr>
            <w:noProof/>
            <w:webHidden/>
          </w:rPr>
          <w:instrText xml:space="preserve"> PAGEREF _Toc144478187 \h </w:instrText>
        </w:r>
        <w:r w:rsidR="00BD44C6">
          <w:rPr>
            <w:noProof/>
            <w:webHidden/>
          </w:rPr>
        </w:r>
        <w:r w:rsidR="00BD44C6">
          <w:rPr>
            <w:noProof/>
            <w:webHidden/>
          </w:rPr>
          <w:fldChar w:fldCharType="separate"/>
        </w:r>
        <w:r w:rsidR="00C80739">
          <w:rPr>
            <w:noProof/>
            <w:webHidden/>
          </w:rPr>
          <w:t>18</w:t>
        </w:r>
        <w:r w:rsidR="00BD44C6">
          <w:rPr>
            <w:noProof/>
            <w:webHidden/>
          </w:rPr>
          <w:fldChar w:fldCharType="end"/>
        </w:r>
      </w:hyperlink>
    </w:p>
    <w:p w14:paraId="14B32374" w14:textId="0CCB6CBD" w:rsidR="00BD44C6" w:rsidRDefault="008A0DF5">
      <w:pPr>
        <w:pStyle w:val="TOC2"/>
        <w:tabs>
          <w:tab w:val="left" w:pos="880"/>
          <w:tab w:val="right" w:leader="dot" w:pos="9016"/>
        </w:tabs>
        <w:rPr>
          <w:rFonts w:eastAsiaTheme="minorEastAsia" w:cstheme="minorBidi"/>
          <w:kern w:val="2"/>
          <w:szCs w:val="22"/>
          <w14:ligatures w14:val="standardContextual"/>
        </w:rPr>
      </w:pPr>
      <w:hyperlink w:anchor="_Toc144478188" w:history="1">
        <w:r w:rsidR="00BD44C6" w:rsidRPr="00EC3355">
          <w:rPr>
            <w:rStyle w:val="Hyperlink"/>
            <w:noProof/>
            <w:lang w:val="en-US"/>
          </w:rPr>
          <w:t>3.2</w:t>
        </w:r>
        <w:r w:rsidR="00BD44C6">
          <w:rPr>
            <w:rFonts w:eastAsiaTheme="minorEastAsia" w:cstheme="minorBidi"/>
            <w:kern w:val="2"/>
            <w:szCs w:val="22"/>
            <w14:ligatures w14:val="standardContextual"/>
          </w:rPr>
          <w:tab/>
        </w:r>
        <w:r w:rsidR="00BD44C6" w:rsidRPr="00EC3355">
          <w:rPr>
            <w:rStyle w:val="Hyperlink"/>
            <w:noProof/>
            <w:lang w:val="en-US"/>
          </w:rPr>
          <w:t>Example of analyses possible with the tool</w:t>
        </w:r>
        <w:r w:rsidR="00BD44C6">
          <w:rPr>
            <w:noProof/>
            <w:webHidden/>
          </w:rPr>
          <w:tab/>
        </w:r>
        <w:r w:rsidR="00BD44C6">
          <w:rPr>
            <w:noProof/>
            <w:webHidden/>
          </w:rPr>
          <w:fldChar w:fldCharType="begin"/>
        </w:r>
        <w:r w:rsidR="00BD44C6">
          <w:rPr>
            <w:noProof/>
            <w:webHidden/>
          </w:rPr>
          <w:instrText xml:space="preserve"> PAGEREF _Toc144478188 \h </w:instrText>
        </w:r>
        <w:r w:rsidR="00BD44C6">
          <w:rPr>
            <w:noProof/>
            <w:webHidden/>
          </w:rPr>
        </w:r>
        <w:r w:rsidR="00BD44C6">
          <w:rPr>
            <w:noProof/>
            <w:webHidden/>
          </w:rPr>
          <w:fldChar w:fldCharType="separate"/>
        </w:r>
        <w:r w:rsidR="00C80739">
          <w:rPr>
            <w:noProof/>
            <w:webHidden/>
          </w:rPr>
          <w:t>24</w:t>
        </w:r>
        <w:r w:rsidR="00BD44C6">
          <w:rPr>
            <w:noProof/>
            <w:webHidden/>
          </w:rPr>
          <w:fldChar w:fldCharType="end"/>
        </w:r>
      </w:hyperlink>
    </w:p>
    <w:p w14:paraId="3763DAA1" w14:textId="60F76BDD" w:rsidR="00BD44C6" w:rsidRDefault="008A0DF5">
      <w:pPr>
        <w:pStyle w:val="TOC1"/>
        <w:tabs>
          <w:tab w:val="left" w:pos="440"/>
          <w:tab w:val="right" w:leader="dot" w:pos="9016"/>
        </w:tabs>
        <w:rPr>
          <w:rFonts w:eastAsiaTheme="minorEastAsia" w:cstheme="minorBidi"/>
          <w:kern w:val="2"/>
          <w:szCs w:val="22"/>
          <w14:ligatures w14:val="standardContextual"/>
        </w:rPr>
      </w:pPr>
      <w:hyperlink w:anchor="_Toc144478189" w:history="1">
        <w:r w:rsidR="00BD44C6" w:rsidRPr="00EC3355">
          <w:rPr>
            <w:rStyle w:val="Hyperlink"/>
            <w:noProof/>
            <w:lang w:val="en-US"/>
          </w:rPr>
          <w:t>4.</w:t>
        </w:r>
        <w:r w:rsidR="00BD44C6">
          <w:rPr>
            <w:rFonts w:eastAsiaTheme="minorEastAsia" w:cstheme="minorBidi"/>
            <w:kern w:val="2"/>
            <w:szCs w:val="22"/>
            <w14:ligatures w14:val="standardContextual"/>
          </w:rPr>
          <w:tab/>
        </w:r>
        <w:r w:rsidR="00BD44C6" w:rsidRPr="00EC3355">
          <w:rPr>
            <w:rStyle w:val="Hyperlink"/>
            <w:noProof/>
            <w:lang w:val="en-US"/>
          </w:rPr>
          <w:t>Next steps</w:t>
        </w:r>
        <w:r w:rsidR="00BD44C6">
          <w:rPr>
            <w:noProof/>
            <w:webHidden/>
          </w:rPr>
          <w:tab/>
        </w:r>
        <w:r w:rsidR="00BD44C6">
          <w:rPr>
            <w:noProof/>
            <w:webHidden/>
          </w:rPr>
          <w:fldChar w:fldCharType="begin"/>
        </w:r>
        <w:r w:rsidR="00BD44C6">
          <w:rPr>
            <w:noProof/>
            <w:webHidden/>
          </w:rPr>
          <w:instrText xml:space="preserve"> PAGEREF _Toc144478189 \h </w:instrText>
        </w:r>
        <w:r w:rsidR="00BD44C6">
          <w:rPr>
            <w:noProof/>
            <w:webHidden/>
          </w:rPr>
        </w:r>
        <w:r w:rsidR="00BD44C6">
          <w:rPr>
            <w:noProof/>
            <w:webHidden/>
          </w:rPr>
          <w:fldChar w:fldCharType="separate"/>
        </w:r>
        <w:r w:rsidR="00C80739">
          <w:rPr>
            <w:noProof/>
            <w:webHidden/>
          </w:rPr>
          <w:t>28</w:t>
        </w:r>
        <w:r w:rsidR="00BD44C6">
          <w:rPr>
            <w:noProof/>
            <w:webHidden/>
          </w:rPr>
          <w:fldChar w:fldCharType="end"/>
        </w:r>
      </w:hyperlink>
    </w:p>
    <w:p w14:paraId="0CC722E4" w14:textId="72858DE0" w:rsidR="00BD44C6" w:rsidRDefault="008A0DF5">
      <w:pPr>
        <w:pStyle w:val="TOC1"/>
        <w:tabs>
          <w:tab w:val="left" w:pos="440"/>
          <w:tab w:val="right" w:leader="dot" w:pos="9016"/>
        </w:tabs>
        <w:rPr>
          <w:rFonts w:eastAsiaTheme="minorEastAsia" w:cstheme="minorBidi"/>
          <w:kern w:val="2"/>
          <w:szCs w:val="22"/>
          <w14:ligatures w14:val="standardContextual"/>
        </w:rPr>
      </w:pPr>
      <w:hyperlink w:anchor="_Toc144478190" w:history="1">
        <w:r w:rsidR="00BD44C6" w:rsidRPr="00EC3355">
          <w:rPr>
            <w:rStyle w:val="Hyperlink"/>
            <w:noProof/>
            <w:lang w:val="en-US"/>
          </w:rPr>
          <w:t>5.</w:t>
        </w:r>
        <w:r w:rsidR="00BD44C6">
          <w:rPr>
            <w:rFonts w:eastAsiaTheme="minorEastAsia" w:cstheme="minorBidi"/>
            <w:kern w:val="2"/>
            <w:szCs w:val="22"/>
            <w14:ligatures w14:val="standardContextual"/>
          </w:rPr>
          <w:tab/>
        </w:r>
        <w:r w:rsidR="00BD44C6" w:rsidRPr="00EC3355">
          <w:rPr>
            <w:rStyle w:val="Hyperlink"/>
            <w:noProof/>
            <w:lang w:val="en-US"/>
          </w:rPr>
          <w:t>Acknowledgements</w:t>
        </w:r>
        <w:r w:rsidR="00BD44C6">
          <w:rPr>
            <w:noProof/>
            <w:webHidden/>
          </w:rPr>
          <w:tab/>
        </w:r>
        <w:r w:rsidR="00BD44C6">
          <w:rPr>
            <w:noProof/>
            <w:webHidden/>
          </w:rPr>
          <w:fldChar w:fldCharType="begin"/>
        </w:r>
        <w:r w:rsidR="00BD44C6">
          <w:rPr>
            <w:noProof/>
            <w:webHidden/>
          </w:rPr>
          <w:instrText xml:space="preserve"> PAGEREF _Toc144478190 \h </w:instrText>
        </w:r>
        <w:r w:rsidR="00BD44C6">
          <w:rPr>
            <w:noProof/>
            <w:webHidden/>
          </w:rPr>
        </w:r>
        <w:r w:rsidR="00BD44C6">
          <w:rPr>
            <w:noProof/>
            <w:webHidden/>
          </w:rPr>
          <w:fldChar w:fldCharType="separate"/>
        </w:r>
        <w:r w:rsidR="00C80739">
          <w:rPr>
            <w:noProof/>
            <w:webHidden/>
          </w:rPr>
          <w:t>28</w:t>
        </w:r>
        <w:r w:rsidR="00BD44C6">
          <w:rPr>
            <w:noProof/>
            <w:webHidden/>
          </w:rPr>
          <w:fldChar w:fldCharType="end"/>
        </w:r>
      </w:hyperlink>
    </w:p>
    <w:p w14:paraId="4E92347B" w14:textId="1A1E31CF" w:rsidR="00BD44C6" w:rsidRDefault="008A0DF5">
      <w:pPr>
        <w:pStyle w:val="TOC1"/>
        <w:tabs>
          <w:tab w:val="left" w:pos="440"/>
          <w:tab w:val="right" w:leader="dot" w:pos="9016"/>
        </w:tabs>
        <w:rPr>
          <w:rFonts w:eastAsiaTheme="minorEastAsia" w:cstheme="minorBidi"/>
          <w:kern w:val="2"/>
          <w:szCs w:val="22"/>
          <w14:ligatures w14:val="standardContextual"/>
        </w:rPr>
      </w:pPr>
      <w:hyperlink w:anchor="_Toc144478191" w:history="1">
        <w:r w:rsidR="00BD44C6" w:rsidRPr="00EC3355">
          <w:rPr>
            <w:rStyle w:val="Hyperlink"/>
            <w:noProof/>
            <w:lang w:val="en-US"/>
          </w:rPr>
          <w:t>6.</w:t>
        </w:r>
        <w:r w:rsidR="00BD44C6">
          <w:rPr>
            <w:rFonts w:eastAsiaTheme="minorEastAsia" w:cstheme="minorBidi"/>
            <w:kern w:val="2"/>
            <w:szCs w:val="22"/>
            <w14:ligatures w14:val="standardContextual"/>
          </w:rPr>
          <w:tab/>
        </w:r>
        <w:r w:rsidR="00BD44C6" w:rsidRPr="00EC3355">
          <w:rPr>
            <w:rStyle w:val="Hyperlink"/>
            <w:noProof/>
            <w:lang w:val="en-US"/>
          </w:rPr>
          <w:t>References</w:t>
        </w:r>
        <w:r w:rsidR="00BD44C6">
          <w:rPr>
            <w:noProof/>
            <w:webHidden/>
          </w:rPr>
          <w:tab/>
        </w:r>
        <w:r w:rsidR="00BD44C6">
          <w:rPr>
            <w:noProof/>
            <w:webHidden/>
          </w:rPr>
          <w:fldChar w:fldCharType="begin"/>
        </w:r>
        <w:r w:rsidR="00BD44C6">
          <w:rPr>
            <w:noProof/>
            <w:webHidden/>
          </w:rPr>
          <w:instrText xml:space="preserve"> PAGEREF _Toc144478191 \h </w:instrText>
        </w:r>
        <w:r w:rsidR="00BD44C6">
          <w:rPr>
            <w:noProof/>
            <w:webHidden/>
          </w:rPr>
        </w:r>
        <w:r w:rsidR="00BD44C6">
          <w:rPr>
            <w:noProof/>
            <w:webHidden/>
          </w:rPr>
          <w:fldChar w:fldCharType="separate"/>
        </w:r>
        <w:r w:rsidR="00C80739">
          <w:rPr>
            <w:noProof/>
            <w:webHidden/>
          </w:rPr>
          <w:t>29</w:t>
        </w:r>
        <w:r w:rsidR="00BD44C6">
          <w:rPr>
            <w:noProof/>
            <w:webHidden/>
          </w:rPr>
          <w:fldChar w:fldCharType="end"/>
        </w:r>
      </w:hyperlink>
    </w:p>
    <w:p w14:paraId="59F4409A" w14:textId="5647C0D5" w:rsidR="00BD44C6" w:rsidRDefault="008A0DF5">
      <w:pPr>
        <w:pStyle w:val="TOC1"/>
        <w:tabs>
          <w:tab w:val="left" w:pos="440"/>
          <w:tab w:val="right" w:leader="dot" w:pos="9016"/>
        </w:tabs>
        <w:rPr>
          <w:rFonts w:eastAsiaTheme="minorEastAsia" w:cstheme="minorBidi"/>
          <w:kern w:val="2"/>
          <w:szCs w:val="22"/>
          <w14:ligatures w14:val="standardContextual"/>
        </w:rPr>
      </w:pPr>
      <w:hyperlink w:anchor="_Toc144478192" w:history="1">
        <w:r w:rsidR="00BD44C6" w:rsidRPr="00EC3355">
          <w:rPr>
            <w:rStyle w:val="Hyperlink"/>
            <w:noProof/>
            <w:lang w:val="en-US"/>
          </w:rPr>
          <w:t>7.</w:t>
        </w:r>
        <w:r w:rsidR="00BD44C6">
          <w:rPr>
            <w:rFonts w:eastAsiaTheme="minorEastAsia" w:cstheme="minorBidi"/>
            <w:kern w:val="2"/>
            <w:szCs w:val="22"/>
            <w14:ligatures w14:val="standardContextual"/>
          </w:rPr>
          <w:tab/>
        </w:r>
        <w:r w:rsidR="00BD44C6" w:rsidRPr="00EC3355">
          <w:rPr>
            <w:rStyle w:val="Hyperlink"/>
            <w:noProof/>
            <w:lang w:val="en-US"/>
          </w:rPr>
          <w:t>Annexes</w:t>
        </w:r>
        <w:r w:rsidR="00BD44C6">
          <w:rPr>
            <w:noProof/>
            <w:webHidden/>
          </w:rPr>
          <w:tab/>
        </w:r>
        <w:r w:rsidR="00BD44C6">
          <w:rPr>
            <w:noProof/>
            <w:webHidden/>
          </w:rPr>
          <w:fldChar w:fldCharType="begin"/>
        </w:r>
        <w:r w:rsidR="00BD44C6">
          <w:rPr>
            <w:noProof/>
            <w:webHidden/>
          </w:rPr>
          <w:instrText xml:space="preserve"> PAGEREF _Toc144478192 \h </w:instrText>
        </w:r>
        <w:r w:rsidR="00BD44C6">
          <w:rPr>
            <w:noProof/>
            <w:webHidden/>
          </w:rPr>
        </w:r>
        <w:r w:rsidR="00BD44C6">
          <w:rPr>
            <w:noProof/>
            <w:webHidden/>
          </w:rPr>
          <w:fldChar w:fldCharType="separate"/>
        </w:r>
        <w:r w:rsidR="00C80739">
          <w:rPr>
            <w:noProof/>
            <w:webHidden/>
          </w:rPr>
          <w:t>31</w:t>
        </w:r>
        <w:r w:rsidR="00BD44C6">
          <w:rPr>
            <w:noProof/>
            <w:webHidden/>
          </w:rPr>
          <w:fldChar w:fldCharType="end"/>
        </w:r>
      </w:hyperlink>
    </w:p>
    <w:p w14:paraId="0A5F3FB2" w14:textId="17E0192E" w:rsidR="00BD44C6" w:rsidRDefault="008A0DF5">
      <w:pPr>
        <w:pStyle w:val="TOC2"/>
        <w:tabs>
          <w:tab w:val="right" w:leader="dot" w:pos="9016"/>
        </w:tabs>
        <w:rPr>
          <w:rFonts w:eastAsiaTheme="minorEastAsia" w:cstheme="minorBidi"/>
          <w:kern w:val="2"/>
          <w:szCs w:val="22"/>
          <w14:ligatures w14:val="standardContextual"/>
        </w:rPr>
      </w:pPr>
      <w:hyperlink w:anchor="_Toc144478193" w:history="1">
        <w:r w:rsidR="00BD44C6" w:rsidRPr="00EC3355">
          <w:rPr>
            <w:rStyle w:val="Hyperlink"/>
            <w:noProof/>
            <w:lang w:val="en-US"/>
          </w:rPr>
          <w:t>Annex 1. Data sources</w:t>
        </w:r>
        <w:r w:rsidR="00BD44C6">
          <w:rPr>
            <w:noProof/>
            <w:webHidden/>
          </w:rPr>
          <w:tab/>
        </w:r>
        <w:r w:rsidR="00BD44C6">
          <w:rPr>
            <w:noProof/>
            <w:webHidden/>
          </w:rPr>
          <w:fldChar w:fldCharType="begin"/>
        </w:r>
        <w:r w:rsidR="00BD44C6">
          <w:rPr>
            <w:noProof/>
            <w:webHidden/>
          </w:rPr>
          <w:instrText xml:space="preserve"> PAGEREF _Toc144478193 \h </w:instrText>
        </w:r>
        <w:r w:rsidR="00BD44C6">
          <w:rPr>
            <w:noProof/>
            <w:webHidden/>
          </w:rPr>
        </w:r>
        <w:r w:rsidR="00BD44C6">
          <w:rPr>
            <w:noProof/>
            <w:webHidden/>
          </w:rPr>
          <w:fldChar w:fldCharType="separate"/>
        </w:r>
        <w:r w:rsidR="00C80739">
          <w:rPr>
            <w:noProof/>
            <w:webHidden/>
          </w:rPr>
          <w:t>31</w:t>
        </w:r>
        <w:r w:rsidR="00BD44C6">
          <w:rPr>
            <w:noProof/>
            <w:webHidden/>
          </w:rPr>
          <w:fldChar w:fldCharType="end"/>
        </w:r>
      </w:hyperlink>
    </w:p>
    <w:p w14:paraId="031B4AC9" w14:textId="35021B64" w:rsidR="00BD44C6" w:rsidRDefault="008A0DF5">
      <w:pPr>
        <w:pStyle w:val="TOC2"/>
        <w:tabs>
          <w:tab w:val="right" w:leader="dot" w:pos="9016"/>
        </w:tabs>
        <w:rPr>
          <w:rFonts w:eastAsiaTheme="minorEastAsia" w:cstheme="minorBidi"/>
          <w:kern w:val="2"/>
          <w:szCs w:val="22"/>
          <w14:ligatures w14:val="standardContextual"/>
        </w:rPr>
      </w:pPr>
      <w:hyperlink w:anchor="_Toc144478194" w:history="1">
        <w:r w:rsidR="00BD44C6" w:rsidRPr="00EC3355">
          <w:rPr>
            <w:rStyle w:val="Hyperlink"/>
            <w:noProof/>
            <w:lang w:val="en-US"/>
          </w:rPr>
          <w:t>Annex 2. Link to Python script</w:t>
        </w:r>
        <w:r w:rsidR="00BD44C6">
          <w:rPr>
            <w:noProof/>
            <w:webHidden/>
          </w:rPr>
          <w:tab/>
        </w:r>
        <w:r w:rsidR="00BD44C6">
          <w:rPr>
            <w:noProof/>
            <w:webHidden/>
          </w:rPr>
          <w:fldChar w:fldCharType="begin"/>
        </w:r>
        <w:r w:rsidR="00BD44C6">
          <w:rPr>
            <w:noProof/>
            <w:webHidden/>
          </w:rPr>
          <w:instrText xml:space="preserve"> PAGEREF _Toc144478194 \h </w:instrText>
        </w:r>
        <w:r w:rsidR="00BD44C6">
          <w:rPr>
            <w:noProof/>
            <w:webHidden/>
          </w:rPr>
        </w:r>
        <w:r w:rsidR="00BD44C6">
          <w:rPr>
            <w:noProof/>
            <w:webHidden/>
          </w:rPr>
          <w:fldChar w:fldCharType="separate"/>
        </w:r>
        <w:r w:rsidR="00C80739">
          <w:rPr>
            <w:noProof/>
            <w:webHidden/>
          </w:rPr>
          <w:t>31</w:t>
        </w:r>
        <w:r w:rsidR="00BD44C6">
          <w:rPr>
            <w:noProof/>
            <w:webHidden/>
          </w:rPr>
          <w:fldChar w:fldCharType="end"/>
        </w:r>
      </w:hyperlink>
    </w:p>
    <w:p w14:paraId="4910C08F" w14:textId="667360D6" w:rsidR="00BD44C6" w:rsidRDefault="008A0DF5">
      <w:pPr>
        <w:pStyle w:val="TOC2"/>
        <w:tabs>
          <w:tab w:val="right" w:leader="dot" w:pos="9016"/>
        </w:tabs>
        <w:rPr>
          <w:rFonts w:eastAsiaTheme="minorEastAsia" w:cstheme="minorBidi"/>
          <w:kern w:val="2"/>
          <w:szCs w:val="22"/>
          <w14:ligatures w14:val="standardContextual"/>
        </w:rPr>
      </w:pPr>
      <w:hyperlink w:anchor="_Toc144478195" w:history="1">
        <w:r w:rsidR="00BD44C6" w:rsidRPr="00EC3355">
          <w:rPr>
            <w:rStyle w:val="Hyperlink"/>
            <w:noProof/>
            <w:lang w:val="en-US"/>
          </w:rPr>
          <w:t>Annex 3. Average mitigation potential, capex and opex for different climate action strategies – consumption-based emissions</w:t>
        </w:r>
        <w:r w:rsidR="00BD44C6">
          <w:rPr>
            <w:noProof/>
            <w:webHidden/>
          </w:rPr>
          <w:tab/>
        </w:r>
        <w:r w:rsidR="00BD44C6">
          <w:rPr>
            <w:noProof/>
            <w:webHidden/>
          </w:rPr>
          <w:fldChar w:fldCharType="begin"/>
        </w:r>
        <w:r w:rsidR="00BD44C6">
          <w:rPr>
            <w:noProof/>
            <w:webHidden/>
          </w:rPr>
          <w:instrText xml:space="preserve"> PAGEREF _Toc144478195 \h </w:instrText>
        </w:r>
        <w:r w:rsidR="00BD44C6">
          <w:rPr>
            <w:noProof/>
            <w:webHidden/>
          </w:rPr>
        </w:r>
        <w:r w:rsidR="00BD44C6">
          <w:rPr>
            <w:noProof/>
            <w:webHidden/>
          </w:rPr>
          <w:fldChar w:fldCharType="separate"/>
        </w:r>
        <w:r w:rsidR="00C80739">
          <w:rPr>
            <w:noProof/>
            <w:webHidden/>
          </w:rPr>
          <w:t>32</w:t>
        </w:r>
        <w:r w:rsidR="00BD44C6">
          <w:rPr>
            <w:noProof/>
            <w:webHidden/>
          </w:rPr>
          <w:fldChar w:fldCharType="end"/>
        </w:r>
      </w:hyperlink>
    </w:p>
    <w:p w14:paraId="272493A9" w14:textId="22B808FE" w:rsidR="00AF0AFB" w:rsidRPr="00AF0AFB" w:rsidRDefault="00AF0AFB" w:rsidP="00E20E52">
      <w:pPr>
        <w:spacing w:after="0" w:line="360" w:lineRule="auto"/>
        <w:contextualSpacing/>
        <w:jc w:val="both"/>
        <w:rPr>
          <w:rFonts w:asciiTheme="majorHAnsi" w:eastAsiaTheme="majorEastAsia" w:hAnsiTheme="majorHAnsi" w:cstheme="majorBidi"/>
          <w:b/>
          <w:color w:val="00A87E" w:themeColor="accent1"/>
          <w:sz w:val="40"/>
          <w:szCs w:val="32"/>
          <w:lang w:val="en-US"/>
        </w:rPr>
      </w:pPr>
      <w:r w:rsidRPr="00AF0AFB">
        <w:rPr>
          <w:lang w:val="en-US"/>
        </w:rPr>
        <w:fldChar w:fldCharType="end"/>
      </w:r>
      <w:r w:rsidRPr="00AF0AFB">
        <w:rPr>
          <w:lang w:val="en-US"/>
        </w:rPr>
        <w:br w:type="page"/>
      </w:r>
    </w:p>
    <w:p w14:paraId="5D6A9D3D" w14:textId="0A430AD3" w:rsidR="00AF0AFB" w:rsidRPr="00AF0AFB" w:rsidRDefault="00AF0AFB" w:rsidP="00E20E52">
      <w:pPr>
        <w:pStyle w:val="Heading1"/>
        <w:numPr>
          <w:ilvl w:val="0"/>
          <w:numId w:val="2"/>
        </w:numPr>
        <w:spacing w:before="0" w:after="0" w:line="360" w:lineRule="auto"/>
        <w:contextualSpacing/>
        <w:jc w:val="both"/>
        <w:rPr>
          <w:lang w:val="en-US"/>
        </w:rPr>
      </w:pPr>
      <w:bookmarkStart w:id="1" w:name="_Toc144478178"/>
      <w:bookmarkEnd w:id="0"/>
      <w:r w:rsidRPr="00AF0AFB">
        <w:rPr>
          <w:lang w:val="en-US"/>
        </w:rPr>
        <w:t>Intro</w:t>
      </w:r>
      <w:r w:rsidR="00A14D8F">
        <w:rPr>
          <w:lang w:val="en-US"/>
        </w:rPr>
        <w:t>duction</w:t>
      </w:r>
      <w:bookmarkEnd w:id="1"/>
    </w:p>
    <w:p w14:paraId="6F55560E" w14:textId="5B2A54A6" w:rsidR="004F2248" w:rsidRPr="00AF0AFB" w:rsidRDefault="00A14D8F" w:rsidP="00E20E52">
      <w:pPr>
        <w:pStyle w:val="Heading2"/>
        <w:numPr>
          <w:ilvl w:val="1"/>
          <w:numId w:val="2"/>
        </w:numPr>
        <w:spacing w:before="0" w:line="360" w:lineRule="auto"/>
        <w:contextualSpacing/>
        <w:jc w:val="both"/>
        <w:rPr>
          <w:lang w:val="en-US"/>
        </w:rPr>
      </w:pPr>
      <w:bookmarkStart w:id="2" w:name="_Toc144478179"/>
      <w:r>
        <w:rPr>
          <w:lang w:val="en-US"/>
        </w:rPr>
        <w:t>About the</w:t>
      </w:r>
      <w:r w:rsidR="00DE25C0">
        <w:rPr>
          <w:lang w:val="en-US"/>
        </w:rPr>
        <w:t xml:space="preserve"> dashboard</w:t>
      </w:r>
      <w:bookmarkEnd w:id="2"/>
    </w:p>
    <w:p w14:paraId="5E1F07BF" w14:textId="61F26711" w:rsidR="00AF0AFB" w:rsidRPr="00AF0AFB" w:rsidRDefault="00AF0AFB" w:rsidP="00E20E52">
      <w:pPr>
        <w:spacing w:after="0" w:line="360" w:lineRule="auto"/>
        <w:contextualSpacing/>
        <w:jc w:val="both"/>
        <w:rPr>
          <w:lang w:val="en-US"/>
        </w:rPr>
      </w:pPr>
      <w:r w:rsidRPr="00AF0AFB">
        <w:rPr>
          <w:lang w:val="en-US"/>
        </w:rPr>
        <w:t xml:space="preserve">Sweden aims to achieve net zero emissions by 2045, which equals to less than 1 </w:t>
      </w:r>
      <w:proofErr w:type="spellStart"/>
      <w:r w:rsidRPr="00AF0AFB">
        <w:rPr>
          <w:lang w:val="en-US"/>
        </w:rPr>
        <w:t>tonne</w:t>
      </w:r>
      <w:proofErr w:type="spellEnd"/>
      <w:r w:rsidRPr="00AF0AFB">
        <w:rPr>
          <w:lang w:val="en-US"/>
        </w:rPr>
        <w:t xml:space="preserve"> of greenhouse gas emissions per person (</w:t>
      </w:r>
      <w:hyperlink r:id="rId14" w:history="1">
        <w:r w:rsidRPr="00AF0AFB">
          <w:rPr>
            <w:rStyle w:val="Hyperlink"/>
            <w:lang w:val="en-US"/>
          </w:rPr>
          <w:t>Swedish Climate Policy Framework 2017</w:t>
        </w:r>
      </w:hyperlink>
      <w:r w:rsidRPr="00AF0AFB">
        <w:rPr>
          <w:lang w:val="en-US"/>
        </w:rPr>
        <w:t>), and cities are essential in supporting</w:t>
      </w:r>
      <w:r w:rsidR="002D0555">
        <w:rPr>
          <w:lang w:val="en-US"/>
        </w:rPr>
        <w:t xml:space="preserve"> and delivering on</w:t>
      </w:r>
      <w:r w:rsidRPr="00AF0AFB">
        <w:rPr>
          <w:lang w:val="en-US"/>
        </w:rPr>
        <w:t xml:space="preserve"> this target.</w:t>
      </w:r>
    </w:p>
    <w:p w14:paraId="67791B60" w14:textId="77777777" w:rsidR="00AF0AFB" w:rsidRPr="00AF0AFB" w:rsidRDefault="00AF0AFB" w:rsidP="00E20E52">
      <w:pPr>
        <w:spacing w:after="0" w:line="360" w:lineRule="auto"/>
        <w:contextualSpacing/>
        <w:jc w:val="both"/>
        <w:rPr>
          <w:lang w:val="en-US"/>
        </w:rPr>
      </w:pPr>
    </w:p>
    <w:p w14:paraId="2C1C2EC8" w14:textId="6E2720F8" w:rsidR="00AF0AFB" w:rsidRPr="00AF0AFB" w:rsidRDefault="00AF0AFB" w:rsidP="00E20E52">
      <w:pPr>
        <w:spacing w:after="0" w:line="360" w:lineRule="auto"/>
        <w:contextualSpacing/>
        <w:jc w:val="both"/>
        <w:rPr>
          <w:lang w:val="en-US"/>
        </w:rPr>
      </w:pPr>
      <w:r w:rsidRPr="00AF0AFB">
        <w:rPr>
          <w:lang w:val="en-US"/>
        </w:rPr>
        <w:t xml:space="preserve">This user guide provides insight into how the Viable Cities’ Finance dashboard should be used. This dashboard aims to support all </w:t>
      </w:r>
      <w:r w:rsidR="004337E7" w:rsidRPr="00AF0AFB">
        <w:rPr>
          <w:lang w:val="en-US"/>
        </w:rPr>
        <w:t>29</w:t>
      </w:r>
      <w:r w:rsidR="004337E7">
        <w:rPr>
          <w:lang w:val="en-US"/>
        </w:rPr>
        <w:t>0</w:t>
      </w:r>
      <w:r w:rsidR="004337E7" w:rsidRPr="00AF0AFB">
        <w:rPr>
          <w:lang w:val="en-US"/>
        </w:rPr>
        <w:t xml:space="preserve"> </w:t>
      </w:r>
      <w:r w:rsidRPr="00AF0AFB">
        <w:rPr>
          <w:lang w:val="en-US"/>
        </w:rPr>
        <w:t xml:space="preserve">Swedish municipalities with their climate action and investment planning up to 2030. It provides: </w:t>
      </w:r>
    </w:p>
    <w:p w14:paraId="503B80A1" w14:textId="7A2B8548" w:rsidR="00AF0AFB" w:rsidRPr="00AF0AFB" w:rsidRDefault="00AF0AFB" w:rsidP="00E20E52">
      <w:pPr>
        <w:pStyle w:val="ListParagraph"/>
        <w:numPr>
          <w:ilvl w:val="0"/>
          <w:numId w:val="3"/>
        </w:numPr>
        <w:spacing w:after="0" w:line="360" w:lineRule="auto"/>
        <w:jc w:val="both"/>
        <w:rPr>
          <w:lang w:val="en-US"/>
        </w:rPr>
      </w:pPr>
      <w:r w:rsidRPr="00AF0AFB">
        <w:rPr>
          <w:lang w:val="en-US"/>
        </w:rPr>
        <w:t>insights into the current emissions in the cities, from a territorial perspective and a consumption-based perspective (</w:t>
      </w:r>
      <w:r w:rsidR="002D0555">
        <w:rPr>
          <w:lang w:val="en-US"/>
        </w:rPr>
        <w:t xml:space="preserve">based on </w:t>
      </w:r>
      <w:r w:rsidRPr="00AF0AFB">
        <w:rPr>
          <w:lang w:val="en-US"/>
        </w:rPr>
        <w:t>household level data</w:t>
      </w:r>
      <w:proofErr w:type="gramStart"/>
      <w:r w:rsidRPr="00AF0AFB">
        <w:rPr>
          <w:lang w:val="en-US"/>
        </w:rPr>
        <w:t>);</w:t>
      </w:r>
      <w:proofErr w:type="gramEnd"/>
      <w:r w:rsidRPr="00AF0AFB">
        <w:rPr>
          <w:lang w:val="en-US"/>
        </w:rPr>
        <w:t xml:space="preserve"> </w:t>
      </w:r>
    </w:p>
    <w:p w14:paraId="15C26F64" w14:textId="77777777" w:rsidR="00AF0AFB" w:rsidRPr="00AF0AFB" w:rsidRDefault="00AF0AFB" w:rsidP="00E20E52">
      <w:pPr>
        <w:pStyle w:val="ListParagraph"/>
        <w:numPr>
          <w:ilvl w:val="0"/>
          <w:numId w:val="3"/>
        </w:numPr>
        <w:spacing w:after="0" w:line="360" w:lineRule="auto"/>
        <w:jc w:val="both"/>
        <w:rPr>
          <w:lang w:val="en-US"/>
        </w:rPr>
      </w:pPr>
      <w:r w:rsidRPr="00AF0AFB">
        <w:rPr>
          <w:lang w:val="en-US"/>
        </w:rPr>
        <w:t xml:space="preserve">emission forecasts to 2030 using population growth and other socio-economic data, with emissions broken down into different sectors and </w:t>
      </w:r>
      <w:proofErr w:type="gramStart"/>
      <w:r w:rsidRPr="00AF0AFB">
        <w:rPr>
          <w:lang w:val="en-US"/>
        </w:rPr>
        <w:t>categories;</w:t>
      </w:r>
      <w:proofErr w:type="gramEnd"/>
      <w:r w:rsidRPr="00AF0AFB">
        <w:rPr>
          <w:lang w:val="en-US"/>
        </w:rPr>
        <w:t xml:space="preserve"> </w:t>
      </w:r>
    </w:p>
    <w:p w14:paraId="5F380D11" w14:textId="6E28C2A7" w:rsidR="00AF0AFB" w:rsidRPr="00AF0AFB" w:rsidRDefault="00AF0AFB" w:rsidP="00E20E52">
      <w:pPr>
        <w:pStyle w:val="ListParagraph"/>
        <w:numPr>
          <w:ilvl w:val="0"/>
          <w:numId w:val="3"/>
        </w:numPr>
        <w:spacing w:after="0" w:line="360" w:lineRule="auto"/>
        <w:jc w:val="both"/>
        <w:rPr>
          <w:lang w:val="en-US"/>
        </w:rPr>
      </w:pPr>
      <w:r w:rsidRPr="00AF0AFB">
        <w:rPr>
          <w:lang w:val="en-US"/>
        </w:rPr>
        <w:t xml:space="preserve">options for reducing emissions in cities, with associated effects on emissions </w:t>
      </w:r>
      <w:r w:rsidR="004337E7">
        <w:rPr>
          <w:lang w:val="en-US"/>
        </w:rPr>
        <w:t xml:space="preserve">by </w:t>
      </w:r>
      <w:r w:rsidRPr="00AF0AFB">
        <w:rPr>
          <w:lang w:val="en-US"/>
        </w:rPr>
        <w:t xml:space="preserve">2030 and costs. The necessary costs are computed for different stakeholders, distinguishing between capital expenditure, CAPEX, and operational expenditure, OPEX. </w:t>
      </w:r>
    </w:p>
    <w:p w14:paraId="045A38CB" w14:textId="77777777" w:rsidR="00AF0AFB" w:rsidRPr="00AF0AFB" w:rsidRDefault="00AF0AFB" w:rsidP="00E20E52">
      <w:pPr>
        <w:spacing w:after="0" w:line="360" w:lineRule="auto"/>
        <w:contextualSpacing/>
        <w:jc w:val="both"/>
        <w:rPr>
          <w:lang w:val="en-US"/>
        </w:rPr>
      </w:pPr>
    </w:p>
    <w:p w14:paraId="5C5A1FF3" w14:textId="1C741038" w:rsidR="00EE75D5" w:rsidRDefault="003821FD" w:rsidP="00E20E52">
      <w:pPr>
        <w:spacing w:after="0" w:line="360" w:lineRule="auto"/>
        <w:contextualSpacing/>
        <w:jc w:val="both"/>
        <w:rPr>
          <w:lang w:val="en-US"/>
        </w:rPr>
      </w:pPr>
      <w:r>
        <w:rPr>
          <w:lang w:val="en-US"/>
        </w:rPr>
        <w:t>Achieving c</w:t>
      </w:r>
      <w:r w:rsidRPr="00AF0AFB">
        <w:rPr>
          <w:lang w:val="en-US"/>
        </w:rPr>
        <w:t xml:space="preserve">limate-neutral </w:t>
      </w:r>
      <w:r w:rsidR="00AA77ED" w:rsidRPr="00AF0AFB">
        <w:rPr>
          <w:lang w:val="en-US"/>
        </w:rPr>
        <w:t>cities</w:t>
      </w:r>
      <w:r w:rsidR="00AA77ED">
        <w:rPr>
          <w:lang w:val="en-US"/>
        </w:rPr>
        <w:t xml:space="preserve"> </w:t>
      </w:r>
      <w:r w:rsidR="00AA77ED" w:rsidRPr="00AF0AFB">
        <w:rPr>
          <w:lang w:val="en-US"/>
        </w:rPr>
        <w:t>requires</w:t>
      </w:r>
      <w:r w:rsidRPr="00AF0AFB">
        <w:rPr>
          <w:lang w:val="en-US"/>
        </w:rPr>
        <w:t xml:space="preserve"> collaboration on an unprecedented scale</w:t>
      </w:r>
      <w:r>
        <w:rPr>
          <w:lang w:val="en-US"/>
        </w:rPr>
        <w:t>. Using a c</w:t>
      </w:r>
      <w:r w:rsidR="00EE75D5">
        <w:rPr>
          <w:lang w:val="en-US"/>
        </w:rPr>
        <w:t xml:space="preserve">ity-wide </w:t>
      </w:r>
      <w:r>
        <w:rPr>
          <w:lang w:val="en-US"/>
        </w:rPr>
        <w:t>approach</w:t>
      </w:r>
      <w:r w:rsidR="00EE75D5">
        <w:rPr>
          <w:lang w:val="en-US"/>
        </w:rPr>
        <w:t xml:space="preserve"> </w:t>
      </w:r>
      <w:proofErr w:type="gramStart"/>
      <w:r>
        <w:rPr>
          <w:lang w:val="en-US"/>
        </w:rPr>
        <w:t>allows</w:t>
      </w:r>
      <w:proofErr w:type="gramEnd"/>
      <w:r>
        <w:rPr>
          <w:lang w:val="en-US"/>
        </w:rPr>
        <w:t xml:space="preserve"> to understand the connections between emissions across sectors and across actors and asset owners. It shows which actors in the city must make changes (</w:t>
      </w:r>
      <w:proofErr w:type="spellStart"/>
      <w:r>
        <w:rPr>
          <w:lang w:val="en-US"/>
        </w:rPr>
        <w:t>behavioural</w:t>
      </w:r>
      <w:proofErr w:type="spellEnd"/>
      <w:r>
        <w:rPr>
          <w:lang w:val="en-US"/>
        </w:rPr>
        <w:t xml:space="preserve">, improve technologies and switch to renewables, or negative emission solutions) to meet the climate neutrality target, and provides insight into </w:t>
      </w:r>
      <w:r w:rsidR="00EE75D5">
        <w:rPr>
          <w:lang w:val="en-US"/>
        </w:rPr>
        <w:t>stakeholder inclusion and participation to ensure that all key actors are onboard and enabled.</w:t>
      </w:r>
      <w:r>
        <w:rPr>
          <w:lang w:val="en-US"/>
        </w:rPr>
        <w:t xml:space="preserve"> For more details on climate investment planning and how it links with climate action planning, please see the Viable Cities’ approach </w:t>
      </w:r>
      <w:r>
        <w:rPr>
          <w:lang w:val="en-US"/>
        </w:rPr>
        <w:fldChar w:fldCharType="begin"/>
      </w:r>
      <w:r>
        <w:rPr>
          <w:lang w:val="en-US"/>
        </w:rPr>
        <w:instrText xml:space="preserve"> ADDIN ZOTERO_ITEM CSL_CITATION {"citationID":"0fUHHdhV","properties":{"formattedCitation":"(Vanhuyse, 2023)","plainCitation":"(Vanhuyse, 2023)","noteIndex":0},"citationItems":[{"id":19125,"uris":["http://zotero.org/groups/2281212/items/AVY2EJLA"],"itemData":{"id":19125,"type":"report","event-place":"Stockholm  Sweden","publisher":"Viable Cities and SEI","publisher-place":"Stockholm  Sweden","title":"Climate Action and Investment Planning for Cities: Introduction to the Viable Cities' Approach","author":[{"family":"Vanhuyse","given":"Fedra"}],"issued":{"date-parts":[["2023"]]}},"label":"page"}],"schema":"https://github.com/citation-style-language/schema/raw/master/csl-citation.json"} </w:instrText>
      </w:r>
      <w:r>
        <w:rPr>
          <w:lang w:val="en-US"/>
        </w:rPr>
        <w:fldChar w:fldCharType="separate"/>
      </w:r>
      <w:r w:rsidRPr="003821FD">
        <w:rPr>
          <w:rFonts w:ascii="Calibri" w:hAnsi="Calibri" w:cs="Calibri"/>
          <w:lang w:val="en-US"/>
        </w:rPr>
        <w:t>(Vanhuyse, 2023)</w:t>
      </w:r>
      <w:r>
        <w:rPr>
          <w:lang w:val="en-US"/>
        </w:rPr>
        <w:fldChar w:fldCharType="end"/>
      </w:r>
      <w:r>
        <w:rPr>
          <w:lang w:val="en-US"/>
        </w:rPr>
        <w:t>.</w:t>
      </w:r>
    </w:p>
    <w:p w14:paraId="2DE46F20" w14:textId="77777777" w:rsidR="003821FD" w:rsidRDefault="003821FD" w:rsidP="00E20E52">
      <w:pPr>
        <w:spacing w:after="0" w:line="360" w:lineRule="auto"/>
        <w:contextualSpacing/>
        <w:jc w:val="both"/>
        <w:rPr>
          <w:lang w:val="en-US"/>
        </w:rPr>
      </w:pPr>
    </w:p>
    <w:p w14:paraId="0A180FA9" w14:textId="00A4F17C" w:rsidR="003821FD" w:rsidRDefault="003821FD" w:rsidP="00E20E52">
      <w:pPr>
        <w:spacing w:after="0" w:line="360" w:lineRule="auto"/>
        <w:contextualSpacing/>
        <w:jc w:val="both"/>
        <w:rPr>
          <w:lang w:val="en-US"/>
        </w:rPr>
      </w:pPr>
      <w:r>
        <w:rPr>
          <w:lang w:val="en-US"/>
        </w:rPr>
        <w:t>T</w:t>
      </w:r>
      <w:r w:rsidRPr="00AF0AFB">
        <w:rPr>
          <w:lang w:val="en-US"/>
        </w:rPr>
        <w:t xml:space="preserve">he dashboard can be found online here: </w:t>
      </w:r>
      <w:hyperlink r:id="rId15" w:history="1">
        <w:r w:rsidRPr="00AF0AFB">
          <w:rPr>
            <w:rStyle w:val="Hyperlink"/>
            <w:lang w:val="en-US"/>
          </w:rPr>
          <w:t>https://seivcf.eu.pythonanywhere.com/</w:t>
        </w:r>
      </w:hyperlink>
      <w:r w:rsidRPr="00AF0AFB">
        <w:rPr>
          <w:rStyle w:val="Hyperlink"/>
          <w:lang w:val="en-US"/>
        </w:rPr>
        <w:t>.</w:t>
      </w:r>
    </w:p>
    <w:p w14:paraId="7904D7F2" w14:textId="34A54155" w:rsidR="00EE75D5" w:rsidRDefault="003821FD" w:rsidP="00E20E52">
      <w:pPr>
        <w:tabs>
          <w:tab w:val="left" w:pos="2439"/>
        </w:tabs>
        <w:spacing w:after="0" w:line="360" w:lineRule="auto"/>
        <w:contextualSpacing/>
        <w:jc w:val="both"/>
        <w:rPr>
          <w:lang w:val="en-US"/>
        </w:rPr>
      </w:pPr>
      <w:r>
        <w:rPr>
          <w:lang w:val="en-US"/>
        </w:rPr>
        <w:tab/>
      </w:r>
    </w:p>
    <w:p w14:paraId="74EC695C" w14:textId="20D01602" w:rsidR="003821FD" w:rsidRDefault="003821FD" w:rsidP="00E20E52">
      <w:pPr>
        <w:spacing w:after="0" w:line="360" w:lineRule="auto"/>
        <w:contextualSpacing/>
        <w:jc w:val="both"/>
        <w:rPr>
          <w:lang w:val="en-US"/>
        </w:rPr>
      </w:pPr>
      <w:r w:rsidRPr="00AF0AFB">
        <w:rPr>
          <w:lang w:val="en-US"/>
        </w:rPr>
        <w:t>We acknowledge that the dashboard is a beta version</w:t>
      </w:r>
      <w:r>
        <w:rPr>
          <w:lang w:val="en-US"/>
        </w:rPr>
        <w:t xml:space="preserve">, with a first version of the dashboard released in 2022 </w:t>
      </w:r>
      <w:r>
        <w:rPr>
          <w:lang w:val="en-US"/>
        </w:rPr>
        <w:fldChar w:fldCharType="begin"/>
      </w:r>
      <w:r>
        <w:rPr>
          <w:lang w:val="en-US"/>
        </w:rPr>
        <w:instrText xml:space="preserve"> ADDIN ZOTERO_ITEM CSL_CITATION {"citationID":"cAaOgK0l","properties":{"formattedCitation":"(see Piseddu and Vanhuyse, 2022)","plainCitation":"(see Piseddu and Vanhuyse, 2022)","noteIndex":0},"citationItems":[{"id":19074,"uris":["http://zotero.org/groups/2281212/items/ZVXQJVP3"],"itemData":{"id":19074,"type":"report","event-place":"Stockholm","publisher":"Viable Cities and SEI","publisher-place":"Stockholm","title":"Viable Cities' Finance dashboard: user guide","author":[{"family":"Piseddu","given":"Tommaso"},{"family":"Vanhuyse","given":"Fedra"}],"issued":{"date-parts":[["2022"]]}},"label":"page","prefix":"see"}],"schema":"https://github.com/citation-style-language/schema/raw/master/csl-citation.json"} </w:instrText>
      </w:r>
      <w:r>
        <w:rPr>
          <w:lang w:val="en-US"/>
        </w:rPr>
        <w:fldChar w:fldCharType="separate"/>
      </w:r>
      <w:r w:rsidRPr="003821FD">
        <w:rPr>
          <w:rFonts w:ascii="Calibri" w:hAnsi="Calibri" w:cs="Calibri"/>
          <w:lang w:val="en-US"/>
        </w:rPr>
        <w:t>(see Piseddu and Vanhuyse, 2022)</w:t>
      </w:r>
      <w:r>
        <w:rPr>
          <w:lang w:val="en-US"/>
        </w:rPr>
        <w:fldChar w:fldCharType="end"/>
      </w:r>
      <w:r w:rsidRPr="00AF0AFB">
        <w:rPr>
          <w:lang w:val="en-US"/>
        </w:rPr>
        <w:t xml:space="preserve">. </w:t>
      </w:r>
      <w:r>
        <w:rPr>
          <w:lang w:val="en-US"/>
        </w:rPr>
        <w:t xml:space="preserve">Like the first version, the revised version dashboard continues to be open access, with </w:t>
      </w:r>
      <w:r w:rsidRPr="00AF0AFB">
        <w:rPr>
          <w:lang w:val="en-US"/>
        </w:rPr>
        <w:t>our python script available on GitHub (see Annex 2)</w:t>
      </w:r>
      <w:r>
        <w:rPr>
          <w:lang w:val="en-US"/>
        </w:rPr>
        <w:t xml:space="preserve">, and free of charge. With this approach, </w:t>
      </w:r>
      <w:r w:rsidRPr="00AF0AFB">
        <w:rPr>
          <w:lang w:val="en-US"/>
        </w:rPr>
        <w:t xml:space="preserve">we hope that anyone interested in supporting cities to understand the consequences of climate action (environmental and financial), </w:t>
      </w:r>
      <w:r>
        <w:rPr>
          <w:lang w:val="en-US"/>
        </w:rPr>
        <w:t xml:space="preserve">can do so. </w:t>
      </w:r>
    </w:p>
    <w:p w14:paraId="1D37F219" w14:textId="77777777" w:rsidR="003821FD" w:rsidRDefault="003821FD" w:rsidP="00E20E52">
      <w:pPr>
        <w:spacing w:after="0" w:line="360" w:lineRule="auto"/>
        <w:contextualSpacing/>
        <w:jc w:val="both"/>
        <w:rPr>
          <w:lang w:val="en-US"/>
        </w:rPr>
      </w:pPr>
    </w:p>
    <w:p w14:paraId="51A607AA" w14:textId="6343D5AC" w:rsidR="003821FD" w:rsidRDefault="00AA77ED" w:rsidP="00E20E52">
      <w:pPr>
        <w:spacing w:after="0" w:line="360" w:lineRule="auto"/>
        <w:contextualSpacing/>
        <w:jc w:val="both"/>
        <w:rPr>
          <w:lang w:val="en-US"/>
        </w:rPr>
      </w:pPr>
      <w:r>
        <w:rPr>
          <w:lang w:val="en-US"/>
        </w:rPr>
        <w:t xml:space="preserve">Below, we briefly describe the changes made to the first version of the dashboard. </w:t>
      </w:r>
      <w:r w:rsidR="00AF0AFB" w:rsidRPr="00AF0AFB">
        <w:rPr>
          <w:lang w:val="en-US"/>
        </w:rPr>
        <w:t xml:space="preserve">In </w:t>
      </w:r>
      <w:r w:rsidR="003821FD">
        <w:rPr>
          <w:lang w:val="en-US"/>
        </w:rPr>
        <w:t xml:space="preserve">Section 2, </w:t>
      </w:r>
      <w:r w:rsidR="00AF0AFB" w:rsidRPr="00AF0AFB">
        <w:rPr>
          <w:lang w:val="en-US"/>
        </w:rPr>
        <w:t>we describe the model and data used</w:t>
      </w:r>
      <w:r w:rsidR="003821FD">
        <w:rPr>
          <w:lang w:val="en-US"/>
        </w:rPr>
        <w:t xml:space="preserve"> for the dashboard, followed by an instruction on how to</w:t>
      </w:r>
      <w:r w:rsidR="00AF0AFB" w:rsidRPr="00AF0AFB">
        <w:rPr>
          <w:lang w:val="en-US"/>
        </w:rPr>
        <w:t xml:space="preserve"> use the dashboard</w:t>
      </w:r>
      <w:r w:rsidR="003821FD">
        <w:rPr>
          <w:lang w:val="en-US"/>
        </w:rPr>
        <w:t xml:space="preserve"> in Section three</w:t>
      </w:r>
      <w:r w:rsidR="00AF0AFB" w:rsidRPr="00AF0AFB">
        <w:rPr>
          <w:lang w:val="en-US"/>
        </w:rPr>
        <w:t xml:space="preserve">. </w:t>
      </w:r>
      <w:r w:rsidR="003821FD">
        <w:rPr>
          <w:lang w:val="en-US"/>
        </w:rPr>
        <w:t>Further improvements are possible, as described in Section 4.</w:t>
      </w:r>
    </w:p>
    <w:p w14:paraId="0EA9539D" w14:textId="77777777" w:rsidR="003821FD" w:rsidRDefault="003821FD" w:rsidP="00E20E52">
      <w:pPr>
        <w:spacing w:after="0" w:line="360" w:lineRule="auto"/>
        <w:contextualSpacing/>
        <w:jc w:val="both"/>
        <w:rPr>
          <w:lang w:val="en-US"/>
        </w:rPr>
      </w:pPr>
    </w:p>
    <w:p w14:paraId="41AB7E08" w14:textId="3E9CFEF9" w:rsidR="003821FD" w:rsidRDefault="003821FD" w:rsidP="00E20E52">
      <w:pPr>
        <w:spacing w:after="0" w:line="360" w:lineRule="auto"/>
        <w:contextualSpacing/>
        <w:jc w:val="both"/>
        <w:rPr>
          <w:lang w:val="en-US"/>
        </w:rPr>
      </w:pPr>
      <w:r>
        <w:rPr>
          <w:lang w:val="en-US"/>
        </w:rPr>
        <w:t xml:space="preserve">We hope that anyone </w:t>
      </w:r>
      <w:r w:rsidRPr="00AF0AFB">
        <w:rPr>
          <w:lang w:val="en-US"/>
        </w:rPr>
        <w:t>with coding/modeling skills</w:t>
      </w:r>
      <w:r>
        <w:rPr>
          <w:lang w:val="en-US"/>
        </w:rPr>
        <w:t>, and/or with relevant data, and/or interest in supporting this</w:t>
      </w:r>
      <w:r w:rsidRPr="00AF0AFB">
        <w:rPr>
          <w:lang w:val="en-US"/>
        </w:rPr>
        <w:t>, reaches out to us</w:t>
      </w:r>
      <w:r>
        <w:rPr>
          <w:lang w:val="en-US"/>
        </w:rPr>
        <w:t xml:space="preserve"> to further develop the model</w:t>
      </w:r>
      <w:r w:rsidRPr="00AF0AFB">
        <w:rPr>
          <w:lang w:val="en-US"/>
        </w:rPr>
        <w:t>.</w:t>
      </w:r>
    </w:p>
    <w:p w14:paraId="30AF7278" w14:textId="77777777" w:rsidR="003821FD" w:rsidRDefault="003821FD" w:rsidP="00E20E52">
      <w:pPr>
        <w:spacing w:after="0" w:line="360" w:lineRule="auto"/>
        <w:contextualSpacing/>
        <w:jc w:val="both"/>
        <w:rPr>
          <w:lang w:val="en-US"/>
        </w:rPr>
      </w:pPr>
    </w:p>
    <w:p w14:paraId="704BD8C6" w14:textId="36372D86" w:rsidR="004F2248" w:rsidRDefault="00DE25C0" w:rsidP="00E20E52">
      <w:pPr>
        <w:pStyle w:val="Heading2"/>
        <w:numPr>
          <w:ilvl w:val="1"/>
          <w:numId w:val="2"/>
        </w:numPr>
        <w:spacing w:before="0" w:line="360" w:lineRule="auto"/>
        <w:contextualSpacing/>
        <w:jc w:val="both"/>
        <w:rPr>
          <w:lang w:val="en-US"/>
        </w:rPr>
      </w:pPr>
      <w:bookmarkStart w:id="3" w:name="_Toc144478180"/>
      <w:r>
        <w:rPr>
          <w:lang w:val="en-US"/>
        </w:rPr>
        <w:t xml:space="preserve">2023 </w:t>
      </w:r>
      <w:r w:rsidR="004F2248">
        <w:rPr>
          <w:lang w:val="en-US"/>
        </w:rPr>
        <w:t>update</w:t>
      </w:r>
      <w:bookmarkEnd w:id="3"/>
    </w:p>
    <w:p w14:paraId="17110BCC" w14:textId="422167C2" w:rsidR="00435542" w:rsidRDefault="00435542" w:rsidP="00435542">
      <w:pPr>
        <w:pStyle w:val="Heading3"/>
        <w:spacing w:before="0" w:line="360" w:lineRule="auto"/>
        <w:contextualSpacing/>
        <w:rPr>
          <w:lang w:val="en-US"/>
        </w:rPr>
      </w:pPr>
      <w:r>
        <w:rPr>
          <w:lang w:val="en-US"/>
        </w:rPr>
        <w:t>August 2023</w:t>
      </w:r>
    </w:p>
    <w:p w14:paraId="4B0C7ED7" w14:textId="7DDA41BF" w:rsidR="00E445C5" w:rsidRDefault="003821FD" w:rsidP="00E20E52">
      <w:pPr>
        <w:spacing w:after="0" w:line="360" w:lineRule="auto"/>
        <w:contextualSpacing/>
        <w:rPr>
          <w:lang w:val="en-US"/>
        </w:rPr>
      </w:pPr>
      <w:r>
        <w:rPr>
          <w:lang w:val="en-US"/>
        </w:rPr>
        <w:t xml:space="preserve">This second version of the dashboard entailed an update of the methodology and data related to </w:t>
      </w:r>
      <w:r w:rsidR="002654A8">
        <w:rPr>
          <w:lang w:val="en-US"/>
        </w:rPr>
        <w:t xml:space="preserve">territorial emissions. </w:t>
      </w:r>
      <w:r w:rsidR="00E445C5">
        <w:rPr>
          <w:lang w:val="en-US"/>
        </w:rPr>
        <w:t>The main updates include:</w:t>
      </w:r>
    </w:p>
    <w:p w14:paraId="61AAEDDE" w14:textId="3AAE62C1" w:rsidR="00E445C5" w:rsidRPr="00E445C5" w:rsidRDefault="00E445C5" w:rsidP="00E20E52">
      <w:pPr>
        <w:pStyle w:val="ListParagraph"/>
        <w:numPr>
          <w:ilvl w:val="0"/>
          <w:numId w:val="12"/>
        </w:numPr>
        <w:spacing w:after="0" w:line="360" w:lineRule="auto"/>
        <w:jc w:val="both"/>
        <w:rPr>
          <w:lang w:val="en-GB"/>
        </w:rPr>
      </w:pPr>
      <w:r w:rsidRPr="00E445C5">
        <w:rPr>
          <w:lang w:val="en-GB"/>
        </w:rPr>
        <w:t>Updated emissions data from 2021 i</w:t>
      </w:r>
      <w:r>
        <w:rPr>
          <w:lang w:val="en-GB"/>
        </w:rPr>
        <w:t>nstead of 2019</w:t>
      </w:r>
    </w:p>
    <w:p w14:paraId="75744BCA" w14:textId="4F4681EA" w:rsidR="00E445C5" w:rsidRPr="00C205EA" w:rsidRDefault="00E445C5" w:rsidP="00E20E52">
      <w:pPr>
        <w:pStyle w:val="ListParagraph"/>
        <w:numPr>
          <w:ilvl w:val="0"/>
          <w:numId w:val="11"/>
        </w:numPr>
        <w:spacing w:after="0" w:line="360" w:lineRule="auto"/>
        <w:jc w:val="both"/>
        <w:rPr>
          <w:lang w:val="en-GB"/>
        </w:rPr>
      </w:pPr>
      <w:r w:rsidRPr="00C205EA">
        <w:rPr>
          <w:lang w:val="en-GB"/>
        </w:rPr>
        <w:t>More emission reduction measures to choose from</w:t>
      </w:r>
    </w:p>
    <w:p w14:paraId="098C850A" w14:textId="77777777" w:rsidR="00E445C5" w:rsidRPr="00E445C5" w:rsidRDefault="00E445C5" w:rsidP="00E20E52">
      <w:pPr>
        <w:pStyle w:val="ListParagraph"/>
        <w:numPr>
          <w:ilvl w:val="0"/>
          <w:numId w:val="11"/>
        </w:numPr>
        <w:spacing w:after="0" w:line="360" w:lineRule="auto"/>
        <w:jc w:val="both"/>
        <w:rPr>
          <w:lang w:val="en-GB"/>
        </w:rPr>
      </w:pPr>
      <w:r w:rsidRPr="00E445C5">
        <w:rPr>
          <w:lang w:val="en-GB"/>
        </w:rPr>
        <w:t xml:space="preserve">Enhanced detail and increased flexibility to tailor each action to local </w:t>
      </w:r>
      <w:proofErr w:type="gramStart"/>
      <w:r w:rsidRPr="00E445C5">
        <w:rPr>
          <w:lang w:val="en-GB"/>
        </w:rPr>
        <w:t>conditions</w:t>
      </w:r>
      <w:proofErr w:type="gramEnd"/>
    </w:p>
    <w:p w14:paraId="6ED87F76" w14:textId="471870E6" w:rsidR="00E445C5" w:rsidRDefault="000C1010" w:rsidP="00E20E52">
      <w:pPr>
        <w:pStyle w:val="ListParagraph"/>
        <w:numPr>
          <w:ilvl w:val="0"/>
          <w:numId w:val="11"/>
        </w:numPr>
        <w:spacing w:after="0" w:line="360" w:lineRule="auto"/>
        <w:jc w:val="both"/>
        <w:rPr>
          <w:lang w:val="en-GB"/>
        </w:rPr>
      </w:pPr>
      <w:r>
        <w:rPr>
          <w:lang w:val="en-GB"/>
        </w:rPr>
        <w:t xml:space="preserve">Transparency over the assumptions </w:t>
      </w:r>
      <w:r w:rsidR="00E445C5" w:rsidRPr="00E445C5">
        <w:rPr>
          <w:lang w:val="en-GB"/>
        </w:rPr>
        <w:t xml:space="preserve">within the </w:t>
      </w:r>
      <w:r w:rsidR="0069561F">
        <w:rPr>
          <w:lang w:val="en-GB"/>
        </w:rPr>
        <w:t>d</w:t>
      </w:r>
      <w:r w:rsidR="00E445C5" w:rsidRPr="00E445C5">
        <w:rPr>
          <w:lang w:val="en-GB"/>
        </w:rPr>
        <w:t>ashboard</w:t>
      </w:r>
      <w:r>
        <w:rPr>
          <w:rStyle w:val="FootnoteReference"/>
          <w:lang w:val="en-GB"/>
        </w:rPr>
        <w:footnoteReference w:id="2"/>
      </w:r>
    </w:p>
    <w:p w14:paraId="029EBFDE" w14:textId="3442B8AC" w:rsidR="00E445C5" w:rsidRDefault="00E445C5" w:rsidP="00E20E52">
      <w:pPr>
        <w:pStyle w:val="ListParagraph"/>
        <w:numPr>
          <w:ilvl w:val="0"/>
          <w:numId w:val="11"/>
        </w:numPr>
        <w:spacing w:after="0" w:line="360" w:lineRule="auto"/>
        <w:jc w:val="both"/>
        <w:rPr>
          <w:lang w:val="en-GB"/>
        </w:rPr>
      </w:pPr>
      <w:r w:rsidRPr="00E445C5">
        <w:rPr>
          <w:lang w:val="en-GB"/>
        </w:rPr>
        <w:t>Improved calculation</w:t>
      </w:r>
      <w:r w:rsidR="00C205EA">
        <w:rPr>
          <w:lang w:val="en-GB"/>
        </w:rPr>
        <w:t xml:space="preserve"> accuracy</w:t>
      </w:r>
      <w:r w:rsidRPr="00E445C5">
        <w:rPr>
          <w:lang w:val="en-GB"/>
        </w:rPr>
        <w:t xml:space="preserve"> for both emissions and costs for each year up to 2030</w:t>
      </w:r>
      <w:r w:rsidR="00852FFD">
        <w:rPr>
          <w:lang w:val="en-GB"/>
        </w:rPr>
        <w:t>,</w:t>
      </w:r>
      <w:r w:rsidR="00740150">
        <w:rPr>
          <w:lang w:val="en-GB"/>
        </w:rPr>
        <w:t xml:space="preserve"> including</w:t>
      </w:r>
      <w:r w:rsidR="00003FEA">
        <w:rPr>
          <w:lang w:val="en-GB"/>
        </w:rPr>
        <w:t>:</w:t>
      </w:r>
    </w:p>
    <w:p w14:paraId="22259311" w14:textId="398AE8E3" w:rsidR="0048149F" w:rsidRDefault="0048149F" w:rsidP="00E20E52">
      <w:pPr>
        <w:pStyle w:val="ListParagraph"/>
        <w:numPr>
          <w:ilvl w:val="1"/>
          <w:numId w:val="11"/>
        </w:numPr>
        <w:spacing w:after="0" w:line="360" w:lineRule="auto"/>
        <w:jc w:val="both"/>
        <w:rPr>
          <w:lang w:val="en-GB"/>
        </w:rPr>
      </w:pPr>
      <w:r>
        <w:rPr>
          <w:lang w:val="en-GB"/>
        </w:rPr>
        <w:t>an option to delay some actions to a later start year</w:t>
      </w:r>
      <w:r w:rsidR="00852FFD">
        <w:rPr>
          <w:lang w:val="en-GB"/>
        </w:rPr>
        <w:t xml:space="preserve"> for a select number of climate actions</w:t>
      </w:r>
      <w:r>
        <w:rPr>
          <w:lang w:val="en-GB"/>
        </w:rPr>
        <w:t xml:space="preserve"> (a e.g.</w:t>
      </w:r>
      <w:r w:rsidR="0069561F">
        <w:rPr>
          <w:lang w:val="en-GB"/>
        </w:rPr>
        <w:t>,</w:t>
      </w:r>
      <w:r>
        <w:rPr>
          <w:lang w:val="en-GB"/>
        </w:rPr>
        <w:t xml:space="preserve"> CCS measures are often planned to become operation</w:t>
      </w:r>
      <w:r w:rsidR="0069561F">
        <w:rPr>
          <w:lang w:val="en-GB"/>
        </w:rPr>
        <w:t>al</w:t>
      </w:r>
      <w:r>
        <w:rPr>
          <w:lang w:val="en-GB"/>
        </w:rPr>
        <w:t xml:space="preserve"> in the later years toward 2030 and will only cost from then</w:t>
      </w:r>
    </w:p>
    <w:p w14:paraId="003D0443" w14:textId="373FB9E6" w:rsidR="00273FE2" w:rsidRPr="00E445C5" w:rsidRDefault="00852FFD" w:rsidP="00E20E52">
      <w:pPr>
        <w:pStyle w:val="ListParagraph"/>
        <w:numPr>
          <w:ilvl w:val="1"/>
          <w:numId w:val="11"/>
        </w:numPr>
        <w:spacing w:after="0" w:line="360" w:lineRule="auto"/>
        <w:jc w:val="both"/>
        <w:rPr>
          <w:lang w:val="en-GB"/>
        </w:rPr>
      </w:pPr>
      <w:r>
        <w:rPr>
          <w:lang w:val="en-GB"/>
        </w:rPr>
        <w:t>m</w:t>
      </w:r>
      <w:r w:rsidR="00273FE2">
        <w:rPr>
          <w:lang w:val="en-GB"/>
        </w:rPr>
        <w:t xml:space="preserve">ore options to show output both per capita and total as well as for </w:t>
      </w:r>
      <w:r w:rsidR="00C07E3A">
        <w:rPr>
          <w:lang w:val="en-GB"/>
        </w:rPr>
        <w:t xml:space="preserve">single years and cumulative </w:t>
      </w:r>
      <w:proofErr w:type="gramStart"/>
      <w:r w:rsidR="00C07E3A">
        <w:rPr>
          <w:lang w:val="en-GB"/>
        </w:rPr>
        <w:t>emissions</w:t>
      </w:r>
      <w:proofErr w:type="gramEnd"/>
    </w:p>
    <w:p w14:paraId="1F334DA4" w14:textId="5226C122" w:rsidR="00E445C5" w:rsidRDefault="00E445C5" w:rsidP="00E20E52">
      <w:pPr>
        <w:pStyle w:val="ListParagraph"/>
        <w:numPr>
          <w:ilvl w:val="0"/>
          <w:numId w:val="11"/>
        </w:numPr>
        <w:spacing w:after="0" w:line="360" w:lineRule="auto"/>
        <w:jc w:val="both"/>
        <w:rPr>
          <w:lang w:val="en-GB"/>
        </w:rPr>
      </w:pPr>
      <w:r w:rsidRPr="00E445C5">
        <w:rPr>
          <w:lang w:val="en-GB"/>
        </w:rPr>
        <w:t>New and more user-friendly layout</w:t>
      </w:r>
      <w:r w:rsidR="00B42B5F">
        <w:rPr>
          <w:lang w:val="en-GB"/>
        </w:rPr>
        <w:t xml:space="preserve"> including</w:t>
      </w:r>
      <w:r w:rsidRPr="00E445C5">
        <w:rPr>
          <w:lang w:val="en-GB"/>
        </w:rPr>
        <w:t xml:space="preserve"> with the option to export results to Excel </w:t>
      </w:r>
      <w:proofErr w:type="gramStart"/>
      <w:r w:rsidRPr="00E445C5">
        <w:rPr>
          <w:lang w:val="en-GB"/>
        </w:rPr>
        <w:t>sheets</w:t>
      </w:r>
      <w:proofErr w:type="gramEnd"/>
      <w:r w:rsidRPr="00E445C5">
        <w:rPr>
          <w:lang w:val="en-GB"/>
        </w:rPr>
        <w:t xml:space="preserve"> </w:t>
      </w:r>
    </w:p>
    <w:p w14:paraId="4C9F9F32" w14:textId="77777777" w:rsidR="00435542" w:rsidRDefault="00435542" w:rsidP="00435542">
      <w:pPr>
        <w:pStyle w:val="Heading3"/>
        <w:spacing w:before="0" w:line="360" w:lineRule="auto"/>
        <w:contextualSpacing/>
        <w:rPr>
          <w:lang w:val="en-US"/>
        </w:rPr>
      </w:pPr>
      <w:r>
        <w:rPr>
          <w:lang w:val="en-US"/>
        </w:rPr>
        <w:t>October 2023</w:t>
      </w:r>
    </w:p>
    <w:p w14:paraId="22AB19F5" w14:textId="77777777" w:rsidR="00435542" w:rsidRDefault="00435542" w:rsidP="00435542">
      <w:pPr>
        <w:tabs>
          <w:tab w:val="left" w:pos="2868"/>
        </w:tabs>
        <w:spacing w:after="0" w:line="360" w:lineRule="auto"/>
        <w:contextualSpacing/>
        <w:jc w:val="both"/>
        <w:rPr>
          <w:lang w:val="en-GB"/>
        </w:rPr>
      </w:pPr>
      <w:r>
        <w:rPr>
          <w:lang w:val="en-GB"/>
        </w:rPr>
        <w:t>A new version was released on the 10</w:t>
      </w:r>
      <w:r w:rsidRPr="00FE249C">
        <w:rPr>
          <w:vertAlign w:val="superscript"/>
          <w:lang w:val="en-GB"/>
        </w:rPr>
        <w:t>th</w:t>
      </w:r>
      <w:r>
        <w:rPr>
          <w:lang w:val="en-GB"/>
        </w:rPr>
        <w:t xml:space="preserve"> of October 2023 with the following changes.</w:t>
      </w:r>
    </w:p>
    <w:p w14:paraId="190F88D9" w14:textId="77777777" w:rsidR="00435542" w:rsidRDefault="00435542" w:rsidP="00435542">
      <w:pPr>
        <w:pStyle w:val="ListParagraph"/>
        <w:numPr>
          <w:ilvl w:val="0"/>
          <w:numId w:val="14"/>
        </w:numPr>
        <w:tabs>
          <w:tab w:val="left" w:pos="2868"/>
        </w:tabs>
        <w:spacing w:after="0" w:line="360" w:lineRule="auto"/>
        <w:jc w:val="both"/>
        <w:rPr>
          <w:lang w:val="en-GB"/>
        </w:rPr>
      </w:pPr>
      <w:r>
        <w:rPr>
          <w:lang w:val="en-GB"/>
        </w:rPr>
        <w:t xml:space="preserve">A new lever for work machinery and an adapted agricultural lever covering all emissions from the </w:t>
      </w:r>
      <w:proofErr w:type="gramStart"/>
      <w:r>
        <w:rPr>
          <w:lang w:val="en-GB"/>
        </w:rPr>
        <w:t>sector</w:t>
      </w:r>
      <w:proofErr w:type="gramEnd"/>
    </w:p>
    <w:p w14:paraId="0401B332" w14:textId="77777777" w:rsidR="00435542" w:rsidRDefault="00435542" w:rsidP="00435542">
      <w:pPr>
        <w:pStyle w:val="ListParagraph"/>
        <w:numPr>
          <w:ilvl w:val="0"/>
          <w:numId w:val="14"/>
        </w:numPr>
        <w:tabs>
          <w:tab w:val="left" w:pos="2868"/>
        </w:tabs>
        <w:spacing w:after="0" w:line="360" w:lineRule="auto"/>
        <w:jc w:val="both"/>
        <w:rPr>
          <w:lang w:val="en-GB"/>
        </w:rPr>
      </w:pPr>
      <w:r>
        <w:rPr>
          <w:lang w:val="en-GB"/>
        </w:rPr>
        <w:t xml:space="preserve">Model works faster and various visual </w:t>
      </w:r>
      <w:proofErr w:type="gramStart"/>
      <w:r>
        <w:rPr>
          <w:lang w:val="en-GB"/>
        </w:rPr>
        <w:t>improvements</w:t>
      </w:r>
      <w:proofErr w:type="gramEnd"/>
    </w:p>
    <w:p w14:paraId="504427C8" w14:textId="77777777" w:rsidR="00435542" w:rsidRDefault="00435542" w:rsidP="00435542">
      <w:pPr>
        <w:pStyle w:val="ListParagraph"/>
        <w:numPr>
          <w:ilvl w:val="0"/>
          <w:numId w:val="14"/>
        </w:numPr>
        <w:tabs>
          <w:tab w:val="left" w:pos="2868"/>
        </w:tabs>
        <w:spacing w:after="0" w:line="360" w:lineRule="auto"/>
        <w:jc w:val="both"/>
        <w:rPr>
          <w:lang w:val="en-GB"/>
        </w:rPr>
      </w:pPr>
      <w:r>
        <w:rPr>
          <w:lang w:val="en-GB"/>
        </w:rPr>
        <w:t xml:space="preserve">Possible to download emissions, economic impacts and the position of the levers into </w:t>
      </w:r>
      <w:proofErr w:type="gramStart"/>
      <w:r>
        <w:rPr>
          <w:lang w:val="en-GB"/>
        </w:rPr>
        <w:t>Excel</w:t>
      </w:r>
      <w:proofErr w:type="gramEnd"/>
    </w:p>
    <w:p w14:paraId="61B6FA59" w14:textId="77777777" w:rsidR="00435542" w:rsidRDefault="00435542" w:rsidP="00435542">
      <w:pPr>
        <w:pStyle w:val="ListParagraph"/>
        <w:numPr>
          <w:ilvl w:val="0"/>
          <w:numId w:val="14"/>
        </w:numPr>
        <w:tabs>
          <w:tab w:val="left" w:pos="2868"/>
        </w:tabs>
        <w:spacing w:after="0" w:line="360" w:lineRule="auto"/>
        <w:jc w:val="both"/>
        <w:rPr>
          <w:lang w:val="en-GB"/>
        </w:rPr>
      </w:pPr>
      <w:r>
        <w:rPr>
          <w:lang w:val="en-GB"/>
        </w:rPr>
        <w:t xml:space="preserve">Beta version of co-impacts integrated into the model that displays some impacts with a preliminary calculation </w:t>
      </w:r>
      <w:proofErr w:type="gramStart"/>
      <w:r>
        <w:rPr>
          <w:lang w:val="en-GB"/>
        </w:rPr>
        <w:t>methodology</w:t>
      </w:r>
      <w:proofErr w:type="gramEnd"/>
    </w:p>
    <w:p w14:paraId="43AF083E" w14:textId="77777777" w:rsidR="00435542" w:rsidRDefault="00435542" w:rsidP="00435542">
      <w:pPr>
        <w:pStyle w:val="ListParagraph"/>
        <w:numPr>
          <w:ilvl w:val="0"/>
          <w:numId w:val="14"/>
        </w:numPr>
        <w:tabs>
          <w:tab w:val="left" w:pos="2868"/>
        </w:tabs>
        <w:spacing w:after="0" w:line="360" w:lineRule="auto"/>
        <w:jc w:val="both"/>
        <w:rPr>
          <w:lang w:val="en-GB"/>
        </w:rPr>
      </w:pPr>
      <w:r>
        <w:rPr>
          <w:lang w:val="en-GB"/>
        </w:rPr>
        <w:t xml:space="preserve">Net present value calculations that </w:t>
      </w:r>
      <w:proofErr w:type="gramStart"/>
      <w:r>
        <w:rPr>
          <w:lang w:val="en-GB"/>
        </w:rPr>
        <w:t>discounts</w:t>
      </w:r>
      <w:proofErr w:type="gramEnd"/>
      <w:r>
        <w:rPr>
          <w:lang w:val="en-GB"/>
        </w:rPr>
        <w:t xml:space="preserve"> economic case</w:t>
      </w:r>
    </w:p>
    <w:p w14:paraId="5278CEA5" w14:textId="77777777" w:rsidR="00E649DA" w:rsidRPr="00FE249C" w:rsidRDefault="00E649DA" w:rsidP="00E649DA">
      <w:pPr>
        <w:pStyle w:val="ListParagraph"/>
        <w:numPr>
          <w:ilvl w:val="0"/>
          <w:numId w:val="14"/>
        </w:numPr>
        <w:tabs>
          <w:tab w:val="left" w:pos="2868"/>
        </w:tabs>
        <w:spacing w:after="0" w:line="360" w:lineRule="auto"/>
        <w:jc w:val="both"/>
        <w:rPr>
          <w:lang w:val="en-GB"/>
        </w:rPr>
      </w:pPr>
      <w:r>
        <w:rPr>
          <w:lang w:val="en-GB"/>
        </w:rPr>
        <w:t>Improved calculations and refined assumptions</w:t>
      </w:r>
    </w:p>
    <w:p w14:paraId="1B03A3E7" w14:textId="7DBDBCFE" w:rsidR="00AF0AFB" w:rsidRPr="00E20E52" w:rsidRDefault="00AF0AFB" w:rsidP="00E20E52">
      <w:pPr>
        <w:tabs>
          <w:tab w:val="left" w:pos="2868"/>
        </w:tabs>
        <w:spacing w:after="0" w:line="360" w:lineRule="auto"/>
        <w:contextualSpacing/>
        <w:jc w:val="both"/>
        <w:rPr>
          <w:lang w:val="en-GB"/>
        </w:rPr>
      </w:pPr>
    </w:p>
    <w:p w14:paraId="75B38386" w14:textId="77777777" w:rsidR="00AF0AFB" w:rsidRPr="00AF0AFB" w:rsidRDefault="00AF0AFB" w:rsidP="00E20E52">
      <w:pPr>
        <w:pStyle w:val="Heading1"/>
        <w:numPr>
          <w:ilvl w:val="0"/>
          <w:numId w:val="2"/>
        </w:numPr>
        <w:spacing w:before="0" w:after="0" w:line="360" w:lineRule="auto"/>
        <w:contextualSpacing/>
        <w:jc w:val="both"/>
        <w:rPr>
          <w:lang w:val="en-US"/>
        </w:rPr>
      </w:pPr>
      <w:bookmarkStart w:id="4" w:name="_Toc144478181"/>
      <w:r w:rsidRPr="00AF0AFB">
        <w:rPr>
          <w:lang w:val="en-US"/>
        </w:rPr>
        <w:t>The model and the data</w:t>
      </w:r>
      <w:bookmarkEnd w:id="4"/>
    </w:p>
    <w:p w14:paraId="02C99BC7" w14:textId="77777777" w:rsidR="00AF0AFB" w:rsidRPr="00AF0AFB" w:rsidRDefault="00AF0AFB" w:rsidP="00E20E52">
      <w:pPr>
        <w:pStyle w:val="Heading2"/>
        <w:numPr>
          <w:ilvl w:val="1"/>
          <w:numId w:val="2"/>
        </w:numPr>
        <w:spacing w:before="0" w:line="360" w:lineRule="auto"/>
        <w:contextualSpacing/>
        <w:jc w:val="both"/>
        <w:rPr>
          <w:lang w:val="en-US"/>
        </w:rPr>
      </w:pPr>
      <w:bookmarkStart w:id="5" w:name="_Toc144478182"/>
      <w:r w:rsidRPr="00AF0AFB">
        <w:rPr>
          <w:lang w:val="en-US"/>
        </w:rPr>
        <w:t xml:space="preserve">The model </w:t>
      </w:r>
      <w:proofErr w:type="gramStart"/>
      <w:r w:rsidRPr="00AF0AFB">
        <w:rPr>
          <w:lang w:val="en-US"/>
        </w:rPr>
        <w:t>structure</w:t>
      </w:r>
      <w:bookmarkEnd w:id="5"/>
      <w:proofErr w:type="gramEnd"/>
    </w:p>
    <w:p w14:paraId="0B69CA95" w14:textId="77777777" w:rsidR="00AF0AFB" w:rsidRDefault="00AF0AFB" w:rsidP="00E20E52">
      <w:pPr>
        <w:spacing w:after="0" w:line="360" w:lineRule="auto"/>
        <w:contextualSpacing/>
        <w:jc w:val="both"/>
        <w:rPr>
          <w:lang w:val="en-US"/>
        </w:rPr>
      </w:pPr>
      <w:r w:rsidRPr="00AF0AFB">
        <w:rPr>
          <w:lang w:val="en-US"/>
        </w:rPr>
        <w:t xml:space="preserve">To calculate the financial investments needed for climate-neutral cities, we developed a model that builds on a series of databases and computations (Figure 1). </w:t>
      </w:r>
    </w:p>
    <w:p w14:paraId="594DD918" w14:textId="77777777" w:rsidR="0085648C" w:rsidRDefault="0085648C" w:rsidP="00E20E52">
      <w:pPr>
        <w:spacing w:after="0" w:line="360" w:lineRule="auto"/>
        <w:contextualSpacing/>
        <w:jc w:val="both"/>
        <w:rPr>
          <w:lang w:val="en-US"/>
        </w:rPr>
      </w:pPr>
    </w:p>
    <w:p w14:paraId="6105777B" w14:textId="33E25A7A" w:rsidR="0085648C" w:rsidRDefault="0085648C" w:rsidP="00E20E52">
      <w:pPr>
        <w:spacing w:after="0" w:line="360" w:lineRule="auto"/>
        <w:contextualSpacing/>
        <w:jc w:val="both"/>
        <w:rPr>
          <w:lang w:val="en-US"/>
        </w:rPr>
      </w:pPr>
      <w:r>
        <w:rPr>
          <w:lang w:val="en-US"/>
        </w:rPr>
        <w:t>The current dashboard structure is based on the model below, but not all databases and outputs have been developed. We intend to do so in further iterations of the dashboard (see Section four).</w:t>
      </w:r>
    </w:p>
    <w:p w14:paraId="21C811F8" w14:textId="77777777" w:rsidR="00E20E52" w:rsidRPr="00AF0AFB" w:rsidRDefault="00E20E52" w:rsidP="00E20E52">
      <w:pPr>
        <w:spacing w:after="0" w:line="360" w:lineRule="auto"/>
        <w:contextualSpacing/>
        <w:jc w:val="both"/>
        <w:rPr>
          <w:lang w:val="en-US"/>
        </w:rPr>
      </w:pPr>
    </w:p>
    <w:p w14:paraId="748D6CD3" w14:textId="1F379204" w:rsidR="00AF0AFB" w:rsidRPr="00AF0AFB" w:rsidRDefault="001E04AD" w:rsidP="00E20E52">
      <w:pPr>
        <w:spacing w:after="0" w:line="360" w:lineRule="auto"/>
        <w:contextualSpacing/>
        <w:jc w:val="both"/>
        <w:rPr>
          <w:lang w:val="en-US"/>
        </w:rPr>
      </w:pPr>
      <w:r>
        <w:rPr>
          <w:noProof/>
          <w:lang w:val="en-US"/>
        </w:rPr>
        <w:drawing>
          <wp:inline distT="0" distB="0" distL="0" distR="0" wp14:anchorId="2FC26E4D" wp14:editId="375BC6F2">
            <wp:extent cx="5796280" cy="3202843"/>
            <wp:effectExtent l="0" t="0" r="0" b="0"/>
            <wp:docPr id="29285033" name="Picture 2928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5187" cy="3207765"/>
                    </a:xfrm>
                    <a:prstGeom prst="rect">
                      <a:avLst/>
                    </a:prstGeom>
                    <a:noFill/>
                  </pic:spPr>
                </pic:pic>
              </a:graphicData>
            </a:graphic>
          </wp:inline>
        </w:drawing>
      </w:r>
    </w:p>
    <w:p w14:paraId="1ABECC4F" w14:textId="77777777" w:rsidR="00AF0AFB" w:rsidRPr="00AF0AFB" w:rsidRDefault="00AF0AFB" w:rsidP="00E20E52">
      <w:pPr>
        <w:spacing w:after="0" w:line="360" w:lineRule="auto"/>
        <w:contextualSpacing/>
        <w:jc w:val="both"/>
        <w:rPr>
          <w:lang w:val="en-US"/>
        </w:rPr>
      </w:pPr>
      <w:r w:rsidRPr="00AF0AFB">
        <w:rPr>
          <w:lang w:val="en-US"/>
        </w:rPr>
        <w:t>Figure 1: model structure – Viable Cities’ Finance dashboard</w:t>
      </w:r>
    </w:p>
    <w:p w14:paraId="24B0B769" w14:textId="038997AC" w:rsidR="00AF0AFB" w:rsidRPr="00AF0AFB" w:rsidRDefault="00AF0AFB" w:rsidP="00E20E52">
      <w:pPr>
        <w:spacing w:after="0" w:line="360" w:lineRule="auto"/>
        <w:contextualSpacing/>
        <w:jc w:val="both"/>
        <w:rPr>
          <w:lang w:val="en-US"/>
        </w:rPr>
      </w:pPr>
      <w:r w:rsidRPr="00AF0AFB">
        <w:rPr>
          <w:lang w:val="en-US"/>
        </w:rPr>
        <w:t xml:space="preserve">Source: </w:t>
      </w:r>
      <w:r w:rsidR="00087F55">
        <w:rPr>
          <w:lang w:val="en-US"/>
        </w:rPr>
        <w:t xml:space="preserve">revised from </w:t>
      </w:r>
      <w:r w:rsidRPr="00AF0AFB">
        <w:rPr>
          <w:lang w:val="en-US"/>
        </w:rPr>
        <w:t>Vanhuyse and Piseddu (2021)</w:t>
      </w:r>
    </w:p>
    <w:p w14:paraId="5A1C4621" w14:textId="77777777" w:rsidR="00E20E52" w:rsidRDefault="00E20E52" w:rsidP="00E20E52">
      <w:pPr>
        <w:spacing w:after="0" w:line="360" w:lineRule="auto"/>
        <w:contextualSpacing/>
        <w:jc w:val="both"/>
        <w:rPr>
          <w:lang w:val="en-US"/>
        </w:rPr>
      </w:pPr>
    </w:p>
    <w:p w14:paraId="2FDF6B3B" w14:textId="460D56EB" w:rsidR="00E23C78" w:rsidRDefault="00833679" w:rsidP="00E20E52">
      <w:pPr>
        <w:spacing w:after="0" w:line="360" w:lineRule="auto"/>
        <w:contextualSpacing/>
        <w:jc w:val="both"/>
        <w:rPr>
          <w:lang w:val="en-US"/>
        </w:rPr>
      </w:pPr>
      <w:r>
        <w:rPr>
          <w:lang w:val="en-US"/>
        </w:rPr>
        <w:t xml:space="preserve">A baseline of greenhouse gas emissions in the municipality </w:t>
      </w:r>
      <w:r w:rsidR="00E004B8">
        <w:rPr>
          <w:lang w:val="en-US"/>
        </w:rPr>
        <w:t>is</w:t>
      </w:r>
      <w:r>
        <w:rPr>
          <w:lang w:val="en-US"/>
        </w:rPr>
        <w:t xml:space="preserve"> used together with population figures and a large set of data-points within the municipality to estimate the impact of different mitigation measures and their associated costs. </w:t>
      </w:r>
      <w:r w:rsidR="00E23C78">
        <w:rPr>
          <w:lang w:val="en-US"/>
        </w:rPr>
        <w:t>I</w:t>
      </w:r>
      <w:r>
        <w:rPr>
          <w:lang w:val="en-US"/>
        </w:rPr>
        <w:t>nvestment scenarios (and sensitivity analysis) can be developed</w:t>
      </w:r>
      <w:r w:rsidR="0085648C">
        <w:rPr>
          <w:lang w:val="en-US"/>
        </w:rPr>
        <w:t xml:space="preserve"> for three preselected scenarios</w:t>
      </w:r>
      <w:r w:rsidR="00E23C78">
        <w:rPr>
          <w:lang w:val="en-US"/>
        </w:rPr>
        <w:t>, and the user can devise an own scenario as well.</w:t>
      </w:r>
    </w:p>
    <w:p w14:paraId="22A8698A" w14:textId="77777777" w:rsidR="00E23C78" w:rsidRDefault="00E23C78" w:rsidP="00E20E52">
      <w:pPr>
        <w:spacing w:after="0" w:line="360" w:lineRule="auto"/>
        <w:contextualSpacing/>
        <w:jc w:val="both"/>
        <w:rPr>
          <w:lang w:val="en-US"/>
        </w:rPr>
      </w:pPr>
    </w:p>
    <w:p w14:paraId="72EC8A76" w14:textId="20A3F167" w:rsidR="00833679" w:rsidRPr="00833679" w:rsidRDefault="00833679" w:rsidP="00E20E52">
      <w:pPr>
        <w:spacing w:after="0" w:line="360" w:lineRule="auto"/>
        <w:contextualSpacing/>
        <w:jc w:val="both"/>
        <w:rPr>
          <w:b/>
          <w:bCs/>
          <w:lang w:val="en-US"/>
        </w:rPr>
      </w:pPr>
      <w:r w:rsidRPr="00833679">
        <w:rPr>
          <w:b/>
          <w:bCs/>
          <w:lang w:val="en-US"/>
        </w:rPr>
        <w:t>Baseline emissions data</w:t>
      </w:r>
    </w:p>
    <w:p w14:paraId="2DF4AC32" w14:textId="57527830" w:rsidR="0023676C" w:rsidRDefault="00833679" w:rsidP="00E20E52">
      <w:pPr>
        <w:spacing w:after="0" w:line="360" w:lineRule="auto"/>
        <w:contextualSpacing/>
        <w:jc w:val="both"/>
        <w:rPr>
          <w:lang w:val="en-US"/>
        </w:rPr>
      </w:pPr>
      <w:r>
        <w:rPr>
          <w:lang w:val="en-US"/>
        </w:rPr>
        <w:t xml:space="preserve">Emissions </w:t>
      </w:r>
      <w:r w:rsidR="00AF0AFB" w:rsidRPr="00AF0AFB">
        <w:rPr>
          <w:lang w:val="en-US"/>
        </w:rPr>
        <w:t xml:space="preserve">are considered both from a consumption-based approach and from a territorial approach. </w:t>
      </w:r>
      <w:r w:rsidR="0023676C">
        <w:rPr>
          <w:lang w:val="en-US"/>
        </w:rPr>
        <w:t xml:space="preserve">Territorial based emissions are gathered from the </w:t>
      </w:r>
      <w:hyperlink r:id="rId17" w:history="1">
        <w:r w:rsidR="0023676C" w:rsidRPr="0023676C">
          <w:rPr>
            <w:rStyle w:val="Hyperlink"/>
            <w:lang w:val="en-US"/>
          </w:rPr>
          <w:t>SMHI national emissions database.</w:t>
        </w:r>
      </w:hyperlink>
      <w:r w:rsidR="0023676C">
        <w:rPr>
          <w:lang w:val="en-US"/>
        </w:rPr>
        <w:t xml:space="preserve"> This is categorized into 9 sectors </w:t>
      </w:r>
      <w:r w:rsidR="009849CA">
        <w:rPr>
          <w:lang w:val="en-US"/>
        </w:rPr>
        <w:t>(</w:t>
      </w:r>
      <w:r w:rsidR="009849CA" w:rsidRPr="009849CA">
        <w:rPr>
          <w:lang w:val="en-US"/>
        </w:rPr>
        <w:t>transport, industry, electricity and district heating, agriculture, own heating, work machinery, product use, waste</w:t>
      </w:r>
      <w:r w:rsidR="00B905CB">
        <w:rPr>
          <w:lang w:val="en-US"/>
        </w:rPr>
        <w:t xml:space="preserve"> and</w:t>
      </w:r>
      <w:r w:rsidR="009849CA" w:rsidRPr="009849CA">
        <w:rPr>
          <w:lang w:val="en-US"/>
        </w:rPr>
        <w:t xml:space="preserve"> foreign transport</w:t>
      </w:r>
      <w:r w:rsidR="009849CA">
        <w:rPr>
          <w:lang w:val="en-US"/>
        </w:rPr>
        <w:t>)</w:t>
      </w:r>
      <w:r w:rsidR="009849CA" w:rsidRPr="009849CA">
        <w:rPr>
          <w:lang w:val="en-US"/>
        </w:rPr>
        <w:t xml:space="preserve"> </w:t>
      </w:r>
      <w:r w:rsidR="0023676C">
        <w:rPr>
          <w:lang w:val="en-US"/>
        </w:rPr>
        <w:t>and 54 sub-sectors and available on a municipal level.</w:t>
      </w:r>
      <w:r w:rsidR="002D0555">
        <w:rPr>
          <w:lang w:val="en-US"/>
        </w:rPr>
        <w:t xml:space="preserve"> More information, including a user guide for municipal staff, is available on </w:t>
      </w:r>
      <w:hyperlink r:id="rId18" w:history="1">
        <w:r w:rsidR="002D0555" w:rsidRPr="002D0555">
          <w:rPr>
            <w:rStyle w:val="Hyperlink"/>
            <w:lang w:val="en-US"/>
          </w:rPr>
          <w:t>this SMHI</w:t>
        </w:r>
      </w:hyperlink>
      <w:r w:rsidR="002D0555">
        <w:rPr>
          <w:lang w:val="en-US"/>
        </w:rPr>
        <w:t xml:space="preserve"> website.</w:t>
      </w:r>
    </w:p>
    <w:p w14:paraId="7E288F1E" w14:textId="77777777" w:rsidR="0023676C" w:rsidRDefault="0023676C" w:rsidP="00E20E52">
      <w:pPr>
        <w:spacing w:after="0" w:line="360" w:lineRule="auto"/>
        <w:contextualSpacing/>
        <w:jc w:val="both"/>
        <w:rPr>
          <w:lang w:val="en-US"/>
        </w:rPr>
      </w:pPr>
    </w:p>
    <w:p w14:paraId="44E67AA9" w14:textId="28B61365" w:rsidR="00AF0AFB" w:rsidRPr="00AF0AFB" w:rsidRDefault="00AF0AFB" w:rsidP="00E20E52">
      <w:pPr>
        <w:spacing w:after="0" w:line="360" w:lineRule="auto"/>
        <w:contextualSpacing/>
        <w:jc w:val="both"/>
        <w:rPr>
          <w:lang w:val="en-US"/>
        </w:rPr>
      </w:pPr>
      <w:r w:rsidRPr="00AF0AFB">
        <w:rPr>
          <w:lang w:val="en-US"/>
        </w:rPr>
        <w:t xml:space="preserve">Consumption-based emissions are intended as the total emissions that result from the economic activity required to meet the municipality's demand for goods and services. The latter dataset is produced by the Swedish Environmental Protection Agency, </w:t>
      </w:r>
      <w:proofErr w:type="spellStart"/>
      <w:r w:rsidRPr="00AF0AFB">
        <w:rPr>
          <w:lang w:val="en-US"/>
        </w:rPr>
        <w:t>Naturvårdsverket</w:t>
      </w:r>
      <w:proofErr w:type="spellEnd"/>
      <w:r w:rsidRPr="00AF0AFB">
        <w:rPr>
          <w:lang w:val="en-US"/>
        </w:rPr>
        <w:t xml:space="preserve">, and accounts for the emissions from sources located within the municipalities' geographical boundaries. The consumption-based emissions dataset is the result of a project designed at the Stockholm Environment Institute, </w:t>
      </w:r>
      <w:hyperlink r:id="rId19" w:history="1">
        <w:proofErr w:type="spellStart"/>
        <w:r w:rsidRPr="00AF0AFB">
          <w:rPr>
            <w:rStyle w:val="Hyperlink"/>
            <w:lang w:val="en-US"/>
          </w:rPr>
          <w:t>Konsumtionskompassen</w:t>
        </w:r>
        <w:proofErr w:type="spellEnd"/>
      </w:hyperlink>
      <w:r w:rsidRPr="00AF0AFB">
        <w:rPr>
          <w:lang w:val="en-US"/>
        </w:rPr>
        <w:t>. This work enables examining data at the city and even at postal code levels. This dataset currently does not contain the emissions from the investment and the governmental sector.  Only the households’ consumption-based emissions are considered. The sources of emissions, about 115 activities, are grouped into more significant categories (food, clothing, housing, health, transport services, air transport, communication, recreation, education, restaurants and hotels, vehicles, electricity, district heating, house heating, and “other sources of emissions”) according to the COICOP classification (</w:t>
      </w:r>
      <w:hyperlink r:id="rId20" w:history="1">
        <w:r w:rsidRPr="00AF0AFB">
          <w:rPr>
            <w:rStyle w:val="Hyperlink"/>
            <w:lang w:val="en-US"/>
          </w:rPr>
          <w:t>Eurostat</w:t>
        </w:r>
      </w:hyperlink>
      <w:r w:rsidRPr="00AF0AFB">
        <w:rPr>
          <w:lang w:val="en-US"/>
        </w:rPr>
        <w:t>). Due to restricted data availability, we use 2019 as our baseline</w:t>
      </w:r>
      <w:r w:rsidR="004337E7">
        <w:rPr>
          <w:lang w:val="en-US"/>
        </w:rPr>
        <w:t xml:space="preserve"> for </w:t>
      </w:r>
      <w:r w:rsidR="002D0555">
        <w:rPr>
          <w:lang w:val="en-US"/>
        </w:rPr>
        <w:t>consumption-based</w:t>
      </w:r>
      <w:r w:rsidR="004337E7">
        <w:rPr>
          <w:lang w:val="en-US"/>
        </w:rPr>
        <w:t xml:space="preserve"> emissions and 2021 for territorial emissions</w:t>
      </w:r>
      <w:r w:rsidRPr="00AF0AFB">
        <w:rPr>
          <w:lang w:val="en-US"/>
        </w:rPr>
        <w:t>.</w:t>
      </w:r>
    </w:p>
    <w:p w14:paraId="58FC6D79" w14:textId="77777777" w:rsidR="00AF0AFB" w:rsidRPr="00AF0AFB" w:rsidRDefault="00AF0AFB" w:rsidP="00E20E52">
      <w:pPr>
        <w:spacing w:after="0" w:line="360" w:lineRule="auto"/>
        <w:contextualSpacing/>
        <w:jc w:val="both"/>
        <w:rPr>
          <w:lang w:val="en-US"/>
        </w:rPr>
      </w:pPr>
    </w:p>
    <w:p w14:paraId="2097B6E6" w14:textId="77777777" w:rsidR="00AF0AFB" w:rsidRDefault="00AF0AFB" w:rsidP="00E20E52">
      <w:pPr>
        <w:spacing w:after="0" w:line="360" w:lineRule="auto"/>
        <w:contextualSpacing/>
        <w:jc w:val="both"/>
        <w:rPr>
          <w:lang w:val="en-US"/>
        </w:rPr>
      </w:pPr>
      <w:r w:rsidRPr="00AF0AFB">
        <w:rPr>
          <w:lang w:val="en-US"/>
        </w:rPr>
        <w:t xml:space="preserve">Data on population growth forecasts for each municipality in the country from 2019 to 2030 are produced by Swedish Statistical Agency, SCB. </w:t>
      </w:r>
    </w:p>
    <w:p w14:paraId="294E2231" w14:textId="77777777" w:rsidR="008F74B3" w:rsidRDefault="008F74B3" w:rsidP="00E20E52">
      <w:pPr>
        <w:spacing w:after="0" w:line="360" w:lineRule="auto"/>
        <w:contextualSpacing/>
        <w:jc w:val="both"/>
        <w:rPr>
          <w:lang w:val="en-US"/>
        </w:rPr>
      </w:pPr>
    </w:p>
    <w:p w14:paraId="402EAA55" w14:textId="08FA9CF1" w:rsidR="008F74B3" w:rsidRPr="00AF0AFB" w:rsidRDefault="008F74B3" w:rsidP="00E20E52">
      <w:pPr>
        <w:pStyle w:val="Heading3"/>
        <w:spacing w:before="0" w:line="360" w:lineRule="auto"/>
        <w:contextualSpacing/>
        <w:rPr>
          <w:lang w:val="en-US"/>
        </w:rPr>
      </w:pPr>
      <w:r w:rsidRPr="00AF0AFB">
        <w:rPr>
          <w:lang w:val="en-US"/>
        </w:rPr>
        <w:t>Mitigation measures</w:t>
      </w:r>
    </w:p>
    <w:p w14:paraId="7951ED8D" w14:textId="7BFC4C2E" w:rsidR="009B0019" w:rsidRDefault="009B0019" w:rsidP="00E20E52">
      <w:pPr>
        <w:spacing w:after="0" w:line="360" w:lineRule="auto"/>
        <w:contextualSpacing/>
        <w:jc w:val="both"/>
        <w:rPr>
          <w:lang w:val="en-US"/>
        </w:rPr>
      </w:pPr>
      <w:r>
        <w:rPr>
          <w:lang w:val="en-US"/>
        </w:rPr>
        <w:t xml:space="preserve">Mitigation measures, or “levers”, for the user to pull </w:t>
      </w:r>
      <w:r w:rsidR="002D0555">
        <w:rPr>
          <w:lang w:val="en-US"/>
        </w:rPr>
        <w:t xml:space="preserve">and adjust </w:t>
      </w:r>
      <w:r>
        <w:rPr>
          <w:lang w:val="en-US"/>
        </w:rPr>
        <w:t xml:space="preserve">are at the heart of the </w:t>
      </w:r>
      <w:r w:rsidR="002D0555">
        <w:rPr>
          <w:lang w:val="en-US"/>
        </w:rPr>
        <w:t>d</w:t>
      </w:r>
      <w:r>
        <w:rPr>
          <w:lang w:val="en-US"/>
        </w:rPr>
        <w:t xml:space="preserve">ashboard. Whenever a lever is pulled, for example, a share of electric cars </w:t>
      </w:r>
      <w:r w:rsidR="006B5220">
        <w:rPr>
          <w:lang w:val="en-US"/>
        </w:rPr>
        <w:t xml:space="preserve">in the fleet </w:t>
      </w:r>
      <w:r>
        <w:rPr>
          <w:lang w:val="en-US"/>
        </w:rPr>
        <w:t xml:space="preserve">by 2030, the emissions </w:t>
      </w:r>
      <w:r w:rsidR="002D0555">
        <w:rPr>
          <w:lang w:val="en-US"/>
        </w:rPr>
        <w:t xml:space="preserve">up until </w:t>
      </w:r>
      <w:r>
        <w:rPr>
          <w:lang w:val="en-US"/>
        </w:rPr>
        <w:t>2030 (as well as the costs) are being affected. The levers are organized by sector and tied to an emission category. Each lever has its own “logic” for how it affects the emissions and a corresponding set of data of its abatement potential.</w:t>
      </w:r>
    </w:p>
    <w:p w14:paraId="50F7097E" w14:textId="77777777" w:rsidR="00E55D2F" w:rsidRDefault="00E55D2F" w:rsidP="00E20E52">
      <w:pPr>
        <w:spacing w:after="0" w:line="360" w:lineRule="auto"/>
        <w:contextualSpacing/>
        <w:jc w:val="both"/>
        <w:rPr>
          <w:lang w:val="en-US"/>
        </w:rPr>
      </w:pPr>
    </w:p>
    <w:p w14:paraId="7A4D5C88" w14:textId="0574C432" w:rsidR="009B0019" w:rsidRDefault="00E55D2F" w:rsidP="00E20E52">
      <w:pPr>
        <w:spacing w:after="0" w:line="360" w:lineRule="auto"/>
        <w:contextualSpacing/>
        <w:jc w:val="both"/>
        <w:rPr>
          <w:lang w:val="en-US"/>
        </w:rPr>
      </w:pPr>
      <w:r>
        <w:rPr>
          <w:lang w:val="en-US"/>
        </w:rPr>
        <w:t xml:space="preserve">For example, pulling the </w:t>
      </w:r>
      <w:r w:rsidR="009B0019">
        <w:rPr>
          <w:lang w:val="en-US"/>
        </w:rPr>
        <w:t>lever “</w:t>
      </w:r>
      <w:r w:rsidR="00B75E62">
        <w:rPr>
          <w:lang w:val="en-US"/>
        </w:rPr>
        <w:t xml:space="preserve">plug-in hybrid </w:t>
      </w:r>
      <w:r w:rsidR="009B0019">
        <w:rPr>
          <w:lang w:val="en-US"/>
        </w:rPr>
        <w:t xml:space="preserve">cars” to </w:t>
      </w:r>
      <w:r w:rsidR="00B75E62">
        <w:rPr>
          <w:lang w:val="en-US"/>
        </w:rPr>
        <w:t>20</w:t>
      </w:r>
      <w:r w:rsidR="009B0019">
        <w:rPr>
          <w:lang w:val="en-US"/>
        </w:rPr>
        <w:t>% by 2030</w:t>
      </w:r>
      <w:r>
        <w:rPr>
          <w:lang w:val="en-US"/>
        </w:rPr>
        <w:t>: a</w:t>
      </w:r>
      <w:r w:rsidR="009B0019">
        <w:rPr>
          <w:lang w:val="en-US"/>
        </w:rPr>
        <w:t xml:space="preserve">s the lever is defined by the share of cars in </w:t>
      </w:r>
      <w:r w:rsidR="007104E8">
        <w:rPr>
          <w:lang w:val="en-US"/>
        </w:rPr>
        <w:t xml:space="preserve">the </w:t>
      </w:r>
      <w:r w:rsidR="009B0019">
        <w:rPr>
          <w:lang w:val="en-US"/>
        </w:rPr>
        <w:t xml:space="preserve">2030 </w:t>
      </w:r>
      <w:r w:rsidR="007104E8">
        <w:rPr>
          <w:lang w:val="en-US"/>
        </w:rPr>
        <w:t xml:space="preserve">fleet </w:t>
      </w:r>
      <w:r w:rsidR="009B0019">
        <w:rPr>
          <w:lang w:val="en-US"/>
        </w:rPr>
        <w:t xml:space="preserve">being </w:t>
      </w:r>
      <w:r w:rsidR="00B75E62">
        <w:rPr>
          <w:lang w:val="en-US"/>
        </w:rPr>
        <w:t>plug</w:t>
      </w:r>
      <w:r w:rsidR="002D0555">
        <w:rPr>
          <w:lang w:val="en-US"/>
        </w:rPr>
        <w:t>-</w:t>
      </w:r>
      <w:r w:rsidR="00B75E62">
        <w:rPr>
          <w:lang w:val="en-US"/>
        </w:rPr>
        <w:t>in hybrid</w:t>
      </w:r>
      <w:r w:rsidR="009B0019">
        <w:rPr>
          <w:lang w:val="en-US"/>
        </w:rPr>
        <w:t xml:space="preserve">, this means that </w:t>
      </w:r>
      <w:r w:rsidR="00B75E62">
        <w:rPr>
          <w:lang w:val="en-US"/>
        </w:rPr>
        <w:t>2</w:t>
      </w:r>
      <w:r w:rsidR="009B0019">
        <w:rPr>
          <w:lang w:val="en-US"/>
        </w:rPr>
        <w:t xml:space="preserve">0% of cars by 2030 will be </w:t>
      </w:r>
      <w:r w:rsidR="00B75E62">
        <w:rPr>
          <w:lang w:val="en-US"/>
        </w:rPr>
        <w:t>plug</w:t>
      </w:r>
      <w:r w:rsidR="002D0555">
        <w:rPr>
          <w:lang w:val="en-US"/>
        </w:rPr>
        <w:t>-</w:t>
      </w:r>
      <w:r w:rsidR="00B75E62">
        <w:rPr>
          <w:lang w:val="en-US"/>
        </w:rPr>
        <w:t>in hybrid</w:t>
      </w:r>
      <w:r w:rsidR="009B0019">
        <w:rPr>
          <w:lang w:val="en-US"/>
        </w:rPr>
        <w:t>.</w:t>
      </w:r>
      <w:r w:rsidR="00B75E62">
        <w:rPr>
          <w:lang w:val="en-US"/>
        </w:rPr>
        <w:t xml:space="preserve"> We then assume that </w:t>
      </w:r>
      <w:proofErr w:type="gramStart"/>
      <w:r w:rsidR="00B75E62">
        <w:rPr>
          <w:lang w:val="en-US"/>
        </w:rPr>
        <w:t>the 20</w:t>
      </w:r>
      <w:proofErr w:type="gramEnd"/>
      <w:r w:rsidR="00B75E62">
        <w:rPr>
          <w:lang w:val="en-US"/>
        </w:rPr>
        <w:t>% will be reached linear</w:t>
      </w:r>
      <w:r w:rsidR="007104E8">
        <w:rPr>
          <w:lang w:val="en-US"/>
        </w:rPr>
        <w:t>ly</w:t>
      </w:r>
      <w:r w:rsidR="00B75E62">
        <w:rPr>
          <w:lang w:val="en-US"/>
        </w:rPr>
        <w:t>. So</w:t>
      </w:r>
      <w:r w:rsidR="002D0555">
        <w:rPr>
          <w:lang w:val="en-US"/>
        </w:rPr>
        <w:t>,</w:t>
      </w:r>
      <w:r w:rsidR="00B75E62">
        <w:rPr>
          <w:lang w:val="en-US"/>
        </w:rPr>
        <w:t xml:space="preserve"> if the baseline year is 2020, 2% of </w:t>
      </w:r>
      <w:r w:rsidR="007104E8">
        <w:rPr>
          <w:lang w:val="en-US"/>
        </w:rPr>
        <w:t xml:space="preserve">the </w:t>
      </w:r>
      <w:r w:rsidR="00B75E62">
        <w:rPr>
          <w:lang w:val="en-US"/>
        </w:rPr>
        <w:t>car</w:t>
      </w:r>
      <w:r w:rsidR="007104E8">
        <w:rPr>
          <w:lang w:val="en-US"/>
        </w:rPr>
        <w:t xml:space="preserve"> fleet</w:t>
      </w:r>
      <w:r w:rsidR="00B75E62">
        <w:rPr>
          <w:lang w:val="en-US"/>
        </w:rPr>
        <w:t xml:space="preserve"> will be plug in hybrid in 2021, 4% in 2022 etc. to reach 20% in 2030.</w:t>
      </w:r>
      <w:r w:rsidR="00FC3300">
        <w:rPr>
          <w:rStyle w:val="FootnoteReference"/>
          <w:lang w:val="en-US"/>
        </w:rPr>
        <w:footnoteReference w:id="3"/>
      </w:r>
      <w:r w:rsidR="00B75E62">
        <w:rPr>
          <w:lang w:val="en-US"/>
        </w:rPr>
        <w:t xml:space="preserve"> By default, we also assume that cars will be sold at the same rate as today</w:t>
      </w:r>
      <w:r w:rsidR="002D0555">
        <w:rPr>
          <w:lang w:val="en-US"/>
        </w:rPr>
        <w:t xml:space="preserve"> based on historical figures for Sweden</w:t>
      </w:r>
      <w:r w:rsidR="00B75E62">
        <w:rPr>
          <w:lang w:val="en-US"/>
        </w:rPr>
        <w:t>. If the user believes more cars will be sold than usual</w:t>
      </w:r>
      <w:r w:rsidR="006B5220">
        <w:rPr>
          <w:lang w:val="en-US"/>
        </w:rPr>
        <w:t xml:space="preserve"> (as part of speeding up the transition)</w:t>
      </w:r>
      <w:r w:rsidR="00B75E62">
        <w:rPr>
          <w:lang w:val="en-US"/>
        </w:rPr>
        <w:t xml:space="preserve">, that can be specified </w:t>
      </w:r>
      <w:r w:rsidR="002D0555">
        <w:rPr>
          <w:lang w:val="en-US"/>
        </w:rPr>
        <w:t xml:space="preserve">by the user </w:t>
      </w:r>
      <w:r w:rsidR="00B75E62">
        <w:rPr>
          <w:lang w:val="en-US"/>
        </w:rPr>
        <w:t>in the assumptions</w:t>
      </w:r>
      <w:r w:rsidR="002D0555">
        <w:rPr>
          <w:lang w:val="en-US"/>
        </w:rPr>
        <w:t xml:space="preserve"> (</w:t>
      </w:r>
      <w:r w:rsidR="002838AA">
        <w:rPr>
          <w:lang w:val="en-US"/>
        </w:rPr>
        <w:t>see below</w:t>
      </w:r>
      <w:r w:rsidR="002D0555">
        <w:rPr>
          <w:lang w:val="en-US"/>
        </w:rPr>
        <w:t>)</w:t>
      </w:r>
      <w:r w:rsidR="00B75E62">
        <w:rPr>
          <w:lang w:val="en-US"/>
        </w:rPr>
        <w:t>. We then assume that each plug</w:t>
      </w:r>
      <w:r w:rsidR="002D0555">
        <w:rPr>
          <w:lang w:val="en-US"/>
        </w:rPr>
        <w:t>-</w:t>
      </w:r>
      <w:r w:rsidR="00B75E62">
        <w:rPr>
          <w:lang w:val="en-US"/>
        </w:rPr>
        <w:t>in hybrid car replaces a car in the existing car fleet with existing average car fleet emissions. Accounting for the emissions of the plug-in hybrid itself, we get the impact of plug</w:t>
      </w:r>
      <w:r w:rsidR="002D0555">
        <w:rPr>
          <w:lang w:val="en-US"/>
        </w:rPr>
        <w:t>-</w:t>
      </w:r>
      <w:r w:rsidR="00B75E62">
        <w:rPr>
          <w:lang w:val="en-US"/>
        </w:rPr>
        <w:t>in hybrid cars on emissions by 2030.</w:t>
      </w:r>
    </w:p>
    <w:p w14:paraId="186E3EF7" w14:textId="77777777" w:rsidR="00B75E62" w:rsidRDefault="00B75E62" w:rsidP="00E20E52">
      <w:pPr>
        <w:spacing w:after="0" w:line="360" w:lineRule="auto"/>
        <w:contextualSpacing/>
        <w:jc w:val="both"/>
        <w:rPr>
          <w:lang w:val="en-US"/>
        </w:rPr>
      </w:pPr>
    </w:p>
    <w:p w14:paraId="4AA85530" w14:textId="53C1BA12" w:rsidR="006B5220" w:rsidRDefault="00B75E62" w:rsidP="00E20E52">
      <w:pPr>
        <w:spacing w:after="0" w:line="360" w:lineRule="auto"/>
        <w:contextualSpacing/>
        <w:jc w:val="both"/>
        <w:rPr>
          <w:lang w:val="en-US"/>
        </w:rPr>
      </w:pPr>
      <w:r>
        <w:rPr>
          <w:lang w:val="en-US"/>
        </w:rPr>
        <w:t>The same logic is applied for other vehicles like electric cars, biogas trucks and electric buses. The climate impact of increased use of public transport is captured in reduced use of cars.</w:t>
      </w:r>
      <w:r w:rsidR="00A542CB">
        <w:rPr>
          <w:lang w:val="en-US"/>
        </w:rPr>
        <w:t xml:space="preserve"> Adding </w:t>
      </w:r>
      <w:proofErr w:type="gramStart"/>
      <w:r w:rsidR="00A542CB">
        <w:rPr>
          <w:lang w:val="en-US"/>
        </w:rPr>
        <w:t>up</w:t>
      </w:r>
      <w:proofErr w:type="gramEnd"/>
      <w:r w:rsidR="00A542CB">
        <w:rPr>
          <w:lang w:val="en-US"/>
        </w:rPr>
        <w:t xml:space="preserve"> all these measures, the total emissions from the transport sector is </w:t>
      </w:r>
      <w:r w:rsidR="00144B16">
        <w:rPr>
          <w:lang w:val="en-US"/>
        </w:rPr>
        <w:t>computed</w:t>
      </w:r>
      <w:r w:rsidR="00A542CB">
        <w:rPr>
          <w:lang w:val="en-US"/>
        </w:rPr>
        <w:t>.</w:t>
      </w:r>
      <w:r w:rsidR="006B5220">
        <w:rPr>
          <w:lang w:val="en-US"/>
        </w:rPr>
        <w:t xml:space="preserve"> Similarly, levers for the other categories work by reducing emissions across the sectors. Some measures might not start immediately. For </w:t>
      </w:r>
      <w:proofErr w:type="gramStart"/>
      <w:r w:rsidR="006B5220">
        <w:rPr>
          <w:lang w:val="en-US"/>
        </w:rPr>
        <w:t>e.g.</w:t>
      </w:r>
      <w:proofErr w:type="gramEnd"/>
      <w:r w:rsidR="006B5220">
        <w:rPr>
          <w:lang w:val="en-US"/>
        </w:rPr>
        <w:t xml:space="preserve"> green hydrogen used in industry implemented with some delay, the user can specify the actual start year of the measure (and from then, a linear progression path towards 2030 follows).</w:t>
      </w:r>
      <w:r w:rsidR="00144B16">
        <w:rPr>
          <w:rStyle w:val="FootnoteReference"/>
          <w:lang w:val="en-US"/>
        </w:rPr>
        <w:footnoteReference w:id="4"/>
      </w:r>
    </w:p>
    <w:p w14:paraId="3CD8BB5A" w14:textId="77777777" w:rsidR="006B5220" w:rsidRDefault="006B5220" w:rsidP="00E20E52">
      <w:pPr>
        <w:spacing w:after="0" w:line="360" w:lineRule="auto"/>
        <w:contextualSpacing/>
        <w:jc w:val="both"/>
        <w:rPr>
          <w:lang w:val="en-US"/>
        </w:rPr>
      </w:pPr>
    </w:p>
    <w:p w14:paraId="2FD68975" w14:textId="298FE02E" w:rsidR="00A029F1" w:rsidRDefault="006B5220" w:rsidP="00E20E52">
      <w:pPr>
        <w:spacing w:after="0" w:line="360" w:lineRule="auto"/>
        <w:contextualSpacing/>
        <w:jc w:val="both"/>
        <w:rPr>
          <w:lang w:val="en-US"/>
        </w:rPr>
      </w:pPr>
      <w:r>
        <w:rPr>
          <w:lang w:val="en-US"/>
        </w:rPr>
        <w:t xml:space="preserve">It is crucial to pay attention to the wording of the levers. The electric cars lever, for example, does not specify the percentage of new cars being sold in 2030 being electric but the share of the 2030 car fleet made up by electric vehicles. As </w:t>
      </w:r>
      <w:proofErr w:type="gramStart"/>
      <w:r>
        <w:rPr>
          <w:lang w:val="en-US"/>
        </w:rPr>
        <w:t>a car</w:t>
      </w:r>
      <w:proofErr w:type="gramEnd"/>
      <w:r>
        <w:rPr>
          <w:lang w:val="en-US"/>
        </w:rPr>
        <w:t xml:space="preserve"> in the current fleet is only being replaced about 1/17 years, just around half of the car fleet will be replaced by 2030. </w:t>
      </w:r>
      <w:r w:rsidR="00A029F1">
        <w:rPr>
          <w:lang w:val="en-US"/>
        </w:rPr>
        <w:t>It will therefore be unlikely that this parameter exceeds 50% by 2030, even if all new cars being sold are electric by 2030.</w:t>
      </w:r>
    </w:p>
    <w:p w14:paraId="7340B6A1" w14:textId="77777777" w:rsidR="00A029F1" w:rsidRDefault="00A029F1" w:rsidP="00E20E52">
      <w:pPr>
        <w:spacing w:after="0" w:line="360" w:lineRule="auto"/>
        <w:contextualSpacing/>
        <w:jc w:val="both"/>
        <w:rPr>
          <w:lang w:val="en-US"/>
        </w:rPr>
      </w:pPr>
    </w:p>
    <w:p w14:paraId="57B7434B" w14:textId="4A36EA1B" w:rsidR="009B0019" w:rsidRDefault="00A029F1" w:rsidP="00E20E52">
      <w:pPr>
        <w:spacing w:after="0" w:line="360" w:lineRule="auto"/>
        <w:contextualSpacing/>
        <w:jc w:val="both"/>
        <w:rPr>
          <w:lang w:val="en-US"/>
        </w:rPr>
      </w:pPr>
      <w:r>
        <w:rPr>
          <w:lang w:val="en-US"/>
        </w:rPr>
        <w:t>Similarly</w:t>
      </w:r>
      <w:r w:rsidR="008435EA">
        <w:rPr>
          <w:lang w:val="en-US"/>
        </w:rPr>
        <w:t xml:space="preserve">, </w:t>
      </w:r>
      <w:r>
        <w:rPr>
          <w:lang w:val="en-US"/>
        </w:rPr>
        <w:t xml:space="preserve">the bio-CCS lever is specified as the share of current emissions that are being captured by 2030. To correctly apply the </w:t>
      </w:r>
      <w:proofErr w:type="gramStart"/>
      <w:r>
        <w:rPr>
          <w:lang w:val="en-US"/>
        </w:rPr>
        <w:t>lever</w:t>
      </w:r>
      <w:proofErr w:type="gramEnd"/>
      <w:r>
        <w:rPr>
          <w:lang w:val="en-US"/>
        </w:rPr>
        <w:t xml:space="preserve"> we must relate the total amount of CO2e captured by 2030 with the baseline emissions of the entire city. We could have allowed the user to directly specify the amount of CO2 that is being captured, but to ensure consistency with other levers and avoid easy mistakes (like the users mixing up the prefix), all levers are defined in whole percentages.</w:t>
      </w:r>
    </w:p>
    <w:p w14:paraId="1734536A" w14:textId="77777777" w:rsidR="00C91CF1" w:rsidRDefault="00C91CF1" w:rsidP="00E20E52">
      <w:pPr>
        <w:spacing w:after="0" w:line="360" w:lineRule="auto"/>
        <w:contextualSpacing/>
        <w:jc w:val="both"/>
        <w:rPr>
          <w:lang w:val="en-US"/>
        </w:rPr>
      </w:pPr>
    </w:p>
    <w:p w14:paraId="77E9AE68" w14:textId="4E303575" w:rsidR="00C91CF1" w:rsidRDefault="00C91CF1" w:rsidP="00E20E52">
      <w:pPr>
        <w:pStyle w:val="Heading3"/>
        <w:spacing w:before="0" w:line="360" w:lineRule="auto"/>
        <w:contextualSpacing/>
        <w:rPr>
          <w:lang w:val="en-US"/>
        </w:rPr>
      </w:pPr>
      <w:r w:rsidRPr="00AF0AFB">
        <w:rPr>
          <w:lang w:val="en-US"/>
        </w:rPr>
        <w:t>Socio-economic data</w:t>
      </w:r>
      <w:r>
        <w:rPr>
          <w:lang w:val="en-US"/>
        </w:rPr>
        <w:t xml:space="preserve"> assumptions</w:t>
      </w:r>
    </w:p>
    <w:p w14:paraId="557DF786" w14:textId="3A1AC311" w:rsidR="00C91CF1" w:rsidRDefault="00C91CF1" w:rsidP="00E20E52">
      <w:pPr>
        <w:spacing w:after="0" w:line="360" w:lineRule="auto"/>
        <w:contextualSpacing/>
        <w:jc w:val="both"/>
        <w:rPr>
          <w:lang w:val="en-US"/>
        </w:rPr>
      </w:pPr>
      <w:r>
        <w:rPr>
          <w:lang w:val="en-US"/>
        </w:rPr>
        <w:t xml:space="preserve">The socio-economic data assumptions relate both to how the mitigation measures affect emissions and how it relates to costs. </w:t>
      </w:r>
      <w:r w:rsidR="008F74B3" w:rsidRPr="00AF0AFB">
        <w:rPr>
          <w:lang w:val="en-US"/>
        </w:rPr>
        <w:t xml:space="preserve">This dataset </w:t>
      </w:r>
      <w:r w:rsidR="008F74B3">
        <w:rPr>
          <w:lang w:val="en-US"/>
        </w:rPr>
        <w:t>is collected from a literature review from a broad range of sources, Swedish</w:t>
      </w:r>
      <w:r w:rsidR="009B0019">
        <w:rPr>
          <w:lang w:val="en-US"/>
        </w:rPr>
        <w:t xml:space="preserve"> or even more local</w:t>
      </w:r>
      <w:r w:rsidR="008F74B3">
        <w:rPr>
          <w:lang w:val="en-US"/>
        </w:rPr>
        <w:t xml:space="preserve"> where possible</w:t>
      </w:r>
      <w:r>
        <w:rPr>
          <w:lang w:val="en-US"/>
        </w:rPr>
        <w:t>. The first purpose is</w:t>
      </w:r>
      <w:r w:rsidR="008F74B3">
        <w:rPr>
          <w:lang w:val="en-US"/>
        </w:rPr>
        <w:t xml:space="preserve"> to estimate the consequences of climate actions on reduced emissions. It captures the abatement potential of different actions.</w:t>
      </w:r>
      <w:r>
        <w:rPr>
          <w:lang w:val="en-US"/>
        </w:rPr>
        <w:t xml:space="preserve"> As an example, plug-in hybrid cars </w:t>
      </w:r>
      <w:r w:rsidR="000C4FF6">
        <w:rPr>
          <w:lang w:val="en-US"/>
        </w:rPr>
        <w:t>use, on average, less</w:t>
      </w:r>
      <w:r>
        <w:rPr>
          <w:lang w:val="en-US"/>
        </w:rPr>
        <w:t xml:space="preserve"> fossil fuels than a petrol or diesel car, but how much? Or, if carbon capture and storage (CCS) is installed in the city’s district heating facility, how big is the abatement potential i.e.</w:t>
      </w:r>
      <w:r w:rsidR="000C4FF6">
        <w:rPr>
          <w:lang w:val="en-US"/>
        </w:rPr>
        <w:t>,</w:t>
      </w:r>
      <w:r>
        <w:rPr>
          <w:lang w:val="en-US"/>
        </w:rPr>
        <w:t xml:space="preserve"> the share of emissions it manages to capture?</w:t>
      </w:r>
    </w:p>
    <w:p w14:paraId="6ED4A572" w14:textId="77777777" w:rsidR="00C91CF1" w:rsidRDefault="00C91CF1" w:rsidP="00E20E52">
      <w:pPr>
        <w:spacing w:after="0" w:line="360" w:lineRule="auto"/>
        <w:contextualSpacing/>
        <w:jc w:val="both"/>
        <w:rPr>
          <w:lang w:val="en-US"/>
        </w:rPr>
      </w:pPr>
    </w:p>
    <w:p w14:paraId="794B98F1" w14:textId="6986C329" w:rsidR="00CE17B1" w:rsidRDefault="00CE17B1" w:rsidP="00E20E52">
      <w:pPr>
        <w:spacing w:after="0" w:line="360" w:lineRule="auto"/>
        <w:contextualSpacing/>
        <w:jc w:val="both"/>
        <w:rPr>
          <w:lang w:val="en-US"/>
        </w:rPr>
      </w:pPr>
      <w:r w:rsidRPr="00AF0AFB">
        <w:rPr>
          <w:lang w:val="en-US"/>
        </w:rPr>
        <w:t>A life-cycle emissions approach was adopted for the analysis of consumption-based emissions</w:t>
      </w:r>
      <w:r>
        <w:rPr>
          <w:lang w:val="en-US"/>
        </w:rPr>
        <w:t xml:space="preserve">, but not from a territorial-based perspective where only emissions occurring within the municipality’s territory </w:t>
      </w:r>
      <w:r w:rsidR="00E17CFF">
        <w:rPr>
          <w:lang w:val="en-US"/>
        </w:rPr>
        <w:t>are</w:t>
      </w:r>
      <w:r>
        <w:rPr>
          <w:lang w:val="en-US"/>
        </w:rPr>
        <w:t xml:space="preserve"> captured</w:t>
      </w:r>
      <w:r w:rsidRPr="00AF0AFB">
        <w:rPr>
          <w:lang w:val="en-US"/>
        </w:rPr>
        <w:t xml:space="preserve">. </w:t>
      </w:r>
      <w:r>
        <w:rPr>
          <w:lang w:val="en-US"/>
        </w:rPr>
        <w:t xml:space="preserve">In practice, this means that the emissions related to the production of an electric car </w:t>
      </w:r>
      <w:r w:rsidR="00E17CFF">
        <w:rPr>
          <w:lang w:val="en-US"/>
        </w:rPr>
        <w:t xml:space="preserve">are </w:t>
      </w:r>
      <w:r>
        <w:rPr>
          <w:lang w:val="en-US"/>
        </w:rPr>
        <w:t>accounted for only in the consumption-based approach (unless the car is produced inside the municipality).</w:t>
      </w:r>
    </w:p>
    <w:p w14:paraId="6F24B5D6" w14:textId="77777777" w:rsidR="00CE17B1" w:rsidRDefault="00CE17B1" w:rsidP="00E20E52">
      <w:pPr>
        <w:spacing w:after="0" w:line="360" w:lineRule="auto"/>
        <w:contextualSpacing/>
        <w:jc w:val="both"/>
        <w:rPr>
          <w:lang w:val="en-US"/>
        </w:rPr>
      </w:pPr>
    </w:p>
    <w:p w14:paraId="5E343282" w14:textId="6833B53F" w:rsidR="00352CEB" w:rsidRDefault="00CE17B1" w:rsidP="00E20E52">
      <w:pPr>
        <w:spacing w:after="0" w:line="360" w:lineRule="auto"/>
        <w:contextualSpacing/>
        <w:jc w:val="both"/>
        <w:rPr>
          <w:lang w:val="en-US"/>
        </w:rPr>
      </w:pPr>
      <w:r>
        <w:rPr>
          <w:lang w:val="en-US"/>
        </w:rPr>
        <w:t>The mitigation measures have costs</w:t>
      </w:r>
      <w:r w:rsidR="00573442">
        <w:rPr>
          <w:lang w:val="en-US"/>
        </w:rPr>
        <w:t xml:space="preserve">, which are </w:t>
      </w:r>
      <w:r>
        <w:rPr>
          <w:lang w:val="en-US"/>
        </w:rPr>
        <w:t xml:space="preserve">calculated using a dataset of different cost drivers. These are </w:t>
      </w:r>
      <w:r w:rsidR="00E9784A">
        <w:rPr>
          <w:lang w:val="en-US"/>
        </w:rPr>
        <w:t>divided</w:t>
      </w:r>
      <w:r>
        <w:rPr>
          <w:lang w:val="en-US"/>
        </w:rPr>
        <w:t xml:space="preserve"> into investment expenditure (CAPEX), operational expenditure (OPEX) and savings and incomes. </w:t>
      </w:r>
      <w:r w:rsidR="00E9784A">
        <w:rPr>
          <w:lang w:val="en-US"/>
        </w:rPr>
        <w:t>For example, a</w:t>
      </w:r>
      <w:r>
        <w:rPr>
          <w:lang w:val="en-US"/>
        </w:rPr>
        <w:t xml:space="preserve"> plug-in hybrid car has a purchase price, a certain fuel cost and a fuel saving compared to a gasoline car, but no discernible income. A wind turbine on the other hand also has income from the electricity it generates, aside from capital and operational expenditure.</w:t>
      </w:r>
    </w:p>
    <w:p w14:paraId="15116A25" w14:textId="77777777" w:rsidR="00352CEB" w:rsidRDefault="00352CEB" w:rsidP="00E20E52">
      <w:pPr>
        <w:spacing w:after="0" w:line="360" w:lineRule="auto"/>
        <w:contextualSpacing/>
        <w:jc w:val="both"/>
        <w:rPr>
          <w:lang w:val="en-US"/>
        </w:rPr>
      </w:pPr>
    </w:p>
    <w:p w14:paraId="381D48F2" w14:textId="086B36DB" w:rsidR="00CE17B1" w:rsidRDefault="00352CEB" w:rsidP="00E20E52">
      <w:pPr>
        <w:spacing w:after="0" w:line="360" w:lineRule="auto"/>
        <w:contextualSpacing/>
        <w:jc w:val="both"/>
        <w:rPr>
          <w:lang w:val="en-US"/>
        </w:rPr>
      </w:pPr>
      <w:r>
        <w:rPr>
          <w:lang w:val="en-US"/>
        </w:rPr>
        <w:t xml:space="preserve">The dataset on costs is vast. It contains, </w:t>
      </w:r>
      <w:r w:rsidRPr="00AF0AFB">
        <w:rPr>
          <w:lang w:val="en-US"/>
        </w:rPr>
        <w:t>for example, the number of cars in the municipality and their fuel consumption (</w:t>
      </w:r>
      <w:proofErr w:type="spellStart"/>
      <w:r w:rsidRPr="00AF0AFB">
        <w:rPr>
          <w:lang w:val="en-US"/>
        </w:rPr>
        <w:t>Trafikanalys</w:t>
      </w:r>
      <w:proofErr w:type="spellEnd"/>
      <w:r w:rsidRPr="00AF0AFB">
        <w:rPr>
          <w:lang w:val="en-US"/>
        </w:rPr>
        <w:t xml:space="preserve">), the composition and the size of the public bus fleet (Svensk </w:t>
      </w:r>
      <w:proofErr w:type="spellStart"/>
      <w:r w:rsidRPr="00AF0AFB">
        <w:rPr>
          <w:lang w:val="en-US"/>
        </w:rPr>
        <w:t>Kollektivtrafik</w:t>
      </w:r>
      <w:proofErr w:type="spellEnd"/>
      <w:r w:rsidRPr="00AF0AFB">
        <w:rPr>
          <w:lang w:val="en-US"/>
        </w:rPr>
        <w:t>), the size of the housing stock (SCB), the district heating supply fuel mix (</w:t>
      </w:r>
      <w:proofErr w:type="spellStart"/>
      <w:r w:rsidRPr="00AF0AFB">
        <w:rPr>
          <w:lang w:val="en-US"/>
        </w:rPr>
        <w:t>Energiföretagen</w:t>
      </w:r>
      <w:proofErr w:type="spellEnd"/>
      <w:r w:rsidRPr="00AF0AFB">
        <w:rPr>
          <w:lang w:val="en-US"/>
        </w:rPr>
        <w:t>).</w:t>
      </w:r>
      <w:r>
        <w:rPr>
          <w:lang w:val="en-US"/>
        </w:rPr>
        <w:t xml:space="preserve"> To calculate</w:t>
      </w:r>
      <w:r w:rsidR="004440F3">
        <w:rPr>
          <w:lang w:val="en-US"/>
        </w:rPr>
        <w:t>,</w:t>
      </w:r>
      <w:r>
        <w:rPr>
          <w:lang w:val="en-US"/>
        </w:rPr>
        <w:t xml:space="preserve"> for example</w:t>
      </w:r>
      <w:r w:rsidR="004440F3">
        <w:rPr>
          <w:lang w:val="en-US"/>
        </w:rPr>
        <w:t>,</w:t>
      </w:r>
      <w:r>
        <w:rPr>
          <w:lang w:val="en-US"/>
        </w:rPr>
        <w:t xml:space="preserve"> the capex of plug-in hybrid, the lever specifies the share of plug-in hybrids by 2030 in the fleet, which is being int</w:t>
      </w:r>
      <w:r w:rsidR="004440F3">
        <w:rPr>
          <w:lang w:val="en-US"/>
        </w:rPr>
        <w:t>er</w:t>
      </w:r>
      <w:r>
        <w:rPr>
          <w:lang w:val="en-US"/>
        </w:rPr>
        <w:t>polated from zero and accumulated to estimate the total number of plug in hybrids being sold in the municipality in total up until 2030 and lastly multiplied with the price of the car (and finally divided by population to obtain a per-capita estimate).</w:t>
      </w:r>
    </w:p>
    <w:p w14:paraId="3597A22A" w14:textId="77777777" w:rsidR="00352CEB" w:rsidRDefault="00352CEB" w:rsidP="00E20E52">
      <w:pPr>
        <w:spacing w:after="0" w:line="360" w:lineRule="auto"/>
        <w:contextualSpacing/>
        <w:jc w:val="both"/>
        <w:rPr>
          <w:lang w:val="en-US"/>
        </w:rPr>
      </w:pPr>
    </w:p>
    <w:p w14:paraId="26C2239B" w14:textId="04117EC6" w:rsidR="00352CEB" w:rsidRDefault="00352CEB" w:rsidP="00E20E52">
      <w:pPr>
        <w:spacing w:after="0" w:line="360" w:lineRule="auto"/>
        <w:contextualSpacing/>
        <w:jc w:val="both"/>
        <w:rPr>
          <w:lang w:val="en-US"/>
        </w:rPr>
      </w:pPr>
      <w:r>
        <w:rPr>
          <w:lang w:val="en-US"/>
        </w:rPr>
        <w:t xml:space="preserve">Within this dataset there is also a set of assumptions that specifies the lever in more detail and allows for more flexibility for the user. For example, are the heat pumps installed in the municipality generating its energy from a mix of air, water and geothermal sources or does the user know it only comes from one source? The negative emissions technologies could in theory also include direct air capture and storage and not just bio-CCS, which could also be specified by the user. If the user is willing to assume that costs of electric vehicles and renewable energy will decline over time instead of sticking to our more conservative assumptions that the prices will remain the same, that can also be adjusted within these assumptions. The same goes if the user believes that an electric cars boom will happen and people are thought to retire their existing cars or buses earlier to jump on the train of electric vehicles, which is not assumed in our baseline. </w:t>
      </w:r>
    </w:p>
    <w:p w14:paraId="11588376" w14:textId="77777777" w:rsidR="00352CEB" w:rsidRDefault="00352CEB" w:rsidP="00E20E52">
      <w:pPr>
        <w:spacing w:after="0" w:line="360" w:lineRule="auto"/>
        <w:contextualSpacing/>
        <w:jc w:val="both"/>
        <w:rPr>
          <w:lang w:val="en-US"/>
        </w:rPr>
      </w:pPr>
    </w:p>
    <w:p w14:paraId="21AAF730" w14:textId="35D6CB62" w:rsidR="00352CEB" w:rsidRDefault="00352CEB" w:rsidP="00E20E52">
      <w:pPr>
        <w:spacing w:after="0" w:line="360" w:lineRule="auto"/>
        <w:contextualSpacing/>
        <w:jc w:val="both"/>
        <w:rPr>
          <w:lang w:val="en-US"/>
        </w:rPr>
      </w:pPr>
      <w:r>
        <w:rPr>
          <w:lang w:val="en-US"/>
        </w:rPr>
        <w:t xml:space="preserve">It also contains some key data </w:t>
      </w:r>
      <w:r w:rsidR="00DC4CD9">
        <w:rPr>
          <w:lang w:val="en-US"/>
        </w:rPr>
        <w:t>for distributing</w:t>
      </w:r>
      <w:r>
        <w:rPr>
          <w:lang w:val="en-US"/>
        </w:rPr>
        <w:t xml:space="preserve"> costs between the following actors: </w:t>
      </w:r>
      <w:r w:rsidRPr="00B905CB">
        <w:rPr>
          <w:lang w:val="en-US"/>
        </w:rPr>
        <w:t xml:space="preserve">citizens, industry, municipal governments, superordinate governments, utility companies, financial </w:t>
      </w:r>
      <w:proofErr w:type="gramStart"/>
      <w:r w:rsidRPr="00B905CB">
        <w:rPr>
          <w:lang w:val="en-US"/>
        </w:rPr>
        <w:t>institutions</w:t>
      </w:r>
      <w:proofErr w:type="gramEnd"/>
      <w:r>
        <w:rPr>
          <w:lang w:val="en-US"/>
        </w:rPr>
        <w:t xml:space="preserve"> and</w:t>
      </w:r>
      <w:r w:rsidRPr="00B905CB">
        <w:rPr>
          <w:lang w:val="en-US"/>
        </w:rPr>
        <w:t xml:space="preserve"> civil society</w:t>
      </w:r>
      <w:r>
        <w:rPr>
          <w:lang w:val="en-US"/>
        </w:rPr>
        <w:t xml:space="preserve">. </w:t>
      </w:r>
      <w:r w:rsidR="00DC4CD9">
        <w:rPr>
          <w:lang w:val="en-US"/>
        </w:rPr>
        <w:t>U</w:t>
      </w:r>
      <w:r>
        <w:rPr>
          <w:lang w:val="en-US"/>
        </w:rPr>
        <w:t>ser</w:t>
      </w:r>
      <w:r w:rsidR="00DC4CD9">
        <w:rPr>
          <w:lang w:val="en-US"/>
        </w:rPr>
        <w:t xml:space="preserve">s can </w:t>
      </w:r>
      <w:r>
        <w:rPr>
          <w:lang w:val="en-US"/>
        </w:rPr>
        <w:t>specify</w:t>
      </w:r>
      <w:r w:rsidR="00DC4CD9">
        <w:rPr>
          <w:lang w:val="en-US"/>
        </w:rPr>
        <w:t xml:space="preserve"> this</w:t>
      </w:r>
      <w:r>
        <w:rPr>
          <w:lang w:val="en-US"/>
        </w:rPr>
        <w:t xml:space="preserve"> in the assumptions.</w:t>
      </w:r>
      <w:r w:rsidR="006702D1">
        <w:rPr>
          <w:rStyle w:val="FootnoteReference"/>
          <w:lang w:val="en-US"/>
        </w:rPr>
        <w:footnoteReference w:id="5"/>
      </w:r>
    </w:p>
    <w:p w14:paraId="23791E36" w14:textId="77777777" w:rsidR="00CE17B1" w:rsidRDefault="00CE17B1" w:rsidP="00E20E52">
      <w:pPr>
        <w:spacing w:after="0" w:line="360" w:lineRule="auto"/>
        <w:contextualSpacing/>
        <w:jc w:val="both"/>
        <w:rPr>
          <w:lang w:val="en-US"/>
        </w:rPr>
      </w:pPr>
    </w:p>
    <w:p w14:paraId="1944946A" w14:textId="75DE1A33" w:rsidR="008F74B3" w:rsidRDefault="00144B16" w:rsidP="00E20E52">
      <w:pPr>
        <w:spacing w:after="0" w:line="360" w:lineRule="auto"/>
        <w:contextualSpacing/>
        <w:jc w:val="both"/>
        <w:rPr>
          <w:lang w:val="en-US"/>
        </w:rPr>
      </w:pPr>
      <w:r>
        <w:rPr>
          <w:lang w:val="en-US"/>
        </w:rPr>
        <w:t>These assumptions are primarily derived from academic literature, but if none was found, secondary sources were used to the best of our ability.</w:t>
      </w:r>
      <w:r w:rsidR="00CE17B1">
        <w:rPr>
          <w:lang w:val="en-US"/>
        </w:rPr>
        <w:t xml:space="preserve"> If local data was missing, a Swedish average was used. For example, data on </w:t>
      </w:r>
      <w:r w:rsidR="00CE17B1" w:rsidRPr="00AF0AFB">
        <w:rPr>
          <w:lang w:val="en-US"/>
        </w:rPr>
        <w:t>dietary distribution downscaled at the municipal level</w:t>
      </w:r>
      <w:r w:rsidR="00CE17B1">
        <w:rPr>
          <w:lang w:val="en-US"/>
        </w:rPr>
        <w:t xml:space="preserve"> is not available, thus national averages were used instead</w:t>
      </w:r>
      <w:r w:rsidR="00CE17B1" w:rsidRPr="00AF0AFB">
        <w:rPr>
          <w:lang w:val="en-US"/>
        </w:rPr>
        <w:t>.</w:t>
      </w:r>
      <w:r w:rsidR="00CE17B1">
        <w:rPr>
          <w:lang w:val="en-US"/>
        </w:rPr>
        <w:t xml:space="preserve"> </w:t>
      </w:r>
      <w:r w:rsidR="00AD2D33">
        <w:rPr>
          <w:lang w:val="en-US"/>
        </w:rPr>
        <w:t>W</w:t>
      </w:r>
      <w:r w:rsidR="00CE17B1">
        <w:rPr>
          <w:lang w:val="en-US"/>
        </w:rPr>
        <w:t xml:space="preserve">here Swedish data was lacking, European or global values were used, </w:t>
      </w:r>
      <w:proofErr w:type="gramStart"/>
      <w:r w:rsidR="00CE17B1">
        <w:rPr>
          <w:lang w:val="en-US"/>
        </w:rPr>
        <w:t>e.g.</w:t>
      </w:r>
      <w:proofErr w:type="gramEnd"/>
      <w:r w:rsidR="00CE17B1">
        <w:rPr>
          <w:lang w:val="en-US"/>
        </w:rPr>
        <w:t xml:space="preserve"> the investment and operating costs for different types of heat pumps.</w:t>
      </w:r>
      <w:r>
        <w:rPr>
          <w:lang w:val="en-US"/>
        </w:rPr>
        <w:t xml:space="preserve"> It should be seen as a starting point that user</w:t>
      </w:r>
      <w:r w:rsidR="00C91CF1">
        <w:rPr>
          <w:lang w:val="en-US"/>
        </w:rPr>
        <w:t>s</w:t>
      </w:r>
      <w:r>
        <w:rPr>
          <w:lang w:val="en-US"/>
        </w:rPr>
        <w:t xml:space="preserve"> can collectively refine to obtain better estimates over time. For that reason, there is a tab in the dashboard (called </w:t>
      </w:r>
      <w:r w:rsidR="00AD2D33">
        <w:rPr>
          <w:lang w:val="en-US"/>
        </w:rPr>
        <w:t xml:space="preserve">“0. </w:t>
      </w:r>
      <w:r>
        <w:rPr>
          <w:lang w:val="en-US"/>
        </w:rPr>
        <w:t>your data</w:t>
      </w:r>
      <w:r w:rsidR="00AD2D33">
        <w:rPr>
          <w:lang w:val="en-US"/>
        </w:rPr>
        <w:t>”</w:t>
      </w:r>
      <w:r>
        <w:rPr>
          <w:lang w:val="en-US"/>
        </w:rPr>
        <w:t xml:space="preserve">), where the user can scrutinize </w:t>
      </w:r>
      <w:r w:rsidR="00C91CF1">
        <w:rPr>
          <w:lang w:val="en-US"/>
        </w:rPr>
        <w:t xml:space="preserve">the </w:t>
      </w:r>
      <w:r>
        <w:rPr>
          <w:lang w:val="en-US"/>
        </w:rPr>
        <w:t xml:space="preserve">assumptions and add their own data to overwrite existing </w:t>
      </w:r>
      <w:r w:rsidR="00C91CF1">
        <w:rPr>
          <w:lang w:val="en-US"/>
        </w:rPr>
        <w:t>figures</w:t>
      </w:r>
      <w:r>
        <w:rPr>
          <w:lang w:val="en-US"/>
        </w:rPr>
        <w:t xml:space="preserve">. This new data will be automatically shared </w:t>
      </w:r>
      <w:r w:rsidR="00C91CF1">
        <w:rPr>
          <w:lang w:val="en-US"/>
        </w:rPr>
        <w:t xml:space="preserve">with </w:t>
      </w:r>
      <w:r>
        <w:rPr>
          <w:lang w:val="en-US"/>
        </w:rPr>
        <w:t>us</w:t>
      </w:r>
      <w:r w:rsidR="00C91CF1">
        <w:rPr>
          <w:lang w:val="en-US"/>
        </w:rPr>
        <w:t>,</w:t>
      </w:r>
      <w:r>
        <w:rPr>
          <w:lang w:val="en-US"/>
        </w:rPr>
        <w:t xml:space="preserve"> which allows us to </w:t>
      </w:r>
      <w:r w:rsidR="00C91CF1">
        <w:rPr>
          <w:lang w:val="en-US"/>
        </w:rPr>
        <w:t>improve the assumptions data set for all users.</w:t>
      </w:r>
      <w:r w:rsidR="00833679">
        <w:rPr>
          <w:lang w:val="en-US"/>
        </w:rPr>
        <w:t xml:space="preserve"> It is very much appreciated if the user uploads data including sources here as the assumptions can always be updated and made more accurate.</w:t>
      </w:r>
    </w:p>
    <w:p w14:paraId="13140AD4" w14:textId="77777777" w:rsidR="00AF0AFB" w:rsidRPr="00AF0AFB" w:rsidRDefault="00AF0AFB" w:rsidP="00E20E52">
      <w:pPr>
        <w:spacing w:after="0" w:line="360" w:lineRule="auto"/>
        <w:contextualSpacing/>
        <w:jc w:val="both"/>
        <w:rPr>
          <w:lang w:val="en-US"/>
        </w:rPr>
      </w:pPr>
    </w:p>
    <w:p w14:paraId="0B7529D2" w14:textId="0FE684D0" w:rsidR="00AF0AFB" w:rsidRDefault="00AF0AFB" w:rsidP="00E20E52">
      <w:pPr>
        <w:spacing w:after="0" w:line="360" w:lineRule="auto"/>
        <w:contextualSpacing/>
        <w:jc w:val="both"/>
        <w:rPr>
          <w:lang w:val="en-US"/>
        </w:rPr>
      </w:pPr>
      <w:r w:rsidRPr="00AF0AFB">
        <w:rPr>
          <w:lang w:val="en-US"/>
        </w:rPr>
        <w:t>Annex 3 contains an overview of the climate action strategies</w:t>
      </w:r>
      <w:r w:rsidR="00AF4333">
        <w:rPr>
          <w:lang w:val="en-US"/>
        </w:rPr>
        <w:t xml:space="preserve"> for consumption-based emissions. This includes</w:t>
      </w:r>
      <w:r w:rsidRPr="00AF0AFB">
        <w:rPr>
          <w:lang w:val="en-US"/>
        </w:rPr>
        <w:t xml:space="preserve"> their average mitigation potential, average capital expenditure, and average operational expenditure, currently included in the model. Hidden costs, such as foregone revenues, accompanying changes in consumption patterns, and their subsequent impacts on the financial performance of some of the businesses are not (yet) considered in the dashboard.</w:t>
      </w:r>
    </w:p>
    <w:p w14:paraId="28D22333" w14:textId="77777777" w:rsidR="00AF0AFB" w:rsidRPr="00AF0AFB" w:rsidRDefault="00AF0AFB" w:rsidP="00E20E52">
      <w:pPr>
        <w:spacing w:after="0" w:line="360" w:lineRule="auto"/>
        <w:contextualSpacing/>
        <w:jc w:val="both"/>
        <w:rPr>
          <w:lang w:val="en-US"/>
        </w:rPr>
      </w:pPr>
    </w:p>
    <w:p w14:paraId="209D2110" w14:textId="77777777" w:rsidR="00AF0AFB" w:rsidRPr="00AF0AFB" w:rsidRDefault="00AF0AFB" w:rsidP="00E20E52">
      <w:pPr>
        <w:pStyle w:val="Heading2"/>
        <w:numPr>
          <w:ilvl w:val="1"/>
          <w:numId w:val="2"/>
        </w:numPr>
        <w:spacing w:before="0" w:line="360" w:lineRule="auto"/>
        <w:ind w:left="792" w:hanging="432"/>
        <w:contextualSpacing/>
        <w:jc w:val="both"/>
        <w:rPr>
          <w:lang w:val="en-US"/>
        </w:rPr>
      </w:pPr>
      <w:bookmarkStart w:id="6" w:name="_The_forecasts_for"/>
      <w:bookmarkStart w:id="7" w:name="_Toc144478183"/>
      <w:bookmarkEnd w:id="6"/>
      <w:r w:rsidRPr="00AF0AFB">
        <w:rPr>
          <w:lang w:val="en-US"/>
        </w:rPr>
        <w:t>The forecasts for 2030 emissions</w:t>
      </w:r>
      <w:bookmarkEnd w:id="7"/>
    </w:p>
    <w:p w14:paraId="470A2BDE" w14:textId="77777777" w:rsidR="00AF0AFB" w:rsidRPr="00AF0AFB" w:rsidRDefault="00AF0AFB" w:rsidP="00E20E52">
      <w:pPr>
        <w:spacing w:after="0" w:line="360" w:lineRule="auto"/>
        <w:contextualSpacing/>
        <w:jc w:val="both"/>
        <w:rPr>
          <w:lang w:val="en-US"/>
        </w:rPr>
      </w:pPr>
      <w:r w:rsidRPr="00AF0AFB">
        <w:rPr>
          <w:lang w:val="en-US"/>
        </w:rPr>
        <w:t xml:space="preserve">Per-capita emissions by 2030 at the municipal level are forecasted under three alternative scenarios: </w:t>
      </w:r>
    </w:p>
    <w:p w14:paraId="6C41C14E" w14:textId="77777777" w:rsidR="00AF0AFB" w:rsidRPr="00AF0AFB" w:rsidRDefault="00AF0AFB" w:rsidP="00E20E52">
      <w:pPr>
        <w:pStyle w:val="ListParagraph"/>
        <w:numPr>
          <w:ilvl w:val="0"/>
          <w:numId w:val="8"/>
        </w:numPr>
        <w:spacing w:after="0" w:line="360" w:lineRule="auto"/>
        <w:jc w:val="both"/>
        <w:rPr>
          <w:lang w:val="en-US"/>
        </w:rPr>
      </w:pPr>
      <w:r w:rsidRPr="00AF0AFB">
        <w:rPr>
          <w:lang w:val="en-US"/>
        </w:rPr>
        <w:t>a business-as-usual scenario (BAU</w:t>
      </w:r>
      <w:proofErr w:type="gramStart"/>
      <w:r w:rsidRPr="00AF0AFB">
        <w:rPr>
          <w:lang w:val="en-US"/>
        </w:rPr>
        <w:t>);</w:t>
      </w:r>
      <w:proofErr w:type="gramEnd"/>
    </w:p>
    <w:p w14:paraId="31A1CF7D" w14:textId="77777777" w:rsidR="00AF0AFB" w:rsidRPr="00AF0AFB" w:rsidRDefault="00AF0AFB" w:rsidP="00E20E52">
      <w:pPr>
        <w:pStyle w:val="ListParagraph"/>
        <w:numPr>
          <w:ilvl w:val="0"/>
          <w:numId w:val="8"/>
        </w:numPr>
        <w:spacing w:after="0" w:line="360" w:lineRule="auto"/>
        <w:jc w:val="both"/>
        <w:rPr>
          <w:lang w:val="en-US"/>
        </w:rPr>
      </w:pPr>
      <w:r w:rsidRPr="00AF0AFB">
        <w:rPr>
          <w:lang w:val="en-US"/>
        </w:rPr>
        <w:t xml:space="preserve">an increase in </w:t>
      </w:r>
      <w:proofErr w:type="gramStart"/>
      <w:r w:rsidRPr="00AF0AFB">
        <w:rPr>
          <w:lang w:val="en-US"/>
        </w:rPr>
        <w:t>emissions;</w:t>
      </w:r>
      <w:proofErr w:type="gramEnd"/>
    </w:p>
    <w:p w14:paraId="27A1B585" w14:textId="77777777" w:rsidR="00AF0AFB" w:rsidRPr="00AF0AFB" w:rsidRDefault="00AF0AFB" w:rsidP="00E20E52">
      <w:pPr>
        <w:pStyle w:val="ListParagraph"/>
        <w:numPr>
          <w:ilvl w:val="0"/>
          <w:numId w:val="8"/>
        </w:numPr>
        <w:spacing w:after="0" w:line="360" w:lineRule="auto"/>
        <w:jc w:val="both"/>
        <w:rPr>
          <w:lang w:val="en-US"/>
        </w:rPr>
      </w:pPr>
      <w:r w:rsidRPr="00AF0AFB">
        <w:rPr>
          <w:lang w:val="en-US"/>
        </w:rPr>
        <w:t xml:space="preserve">a reduction in emissions. </w:t>
      </w:r>
    </w:p>
    <w:p w14:paraId="6C2DC989" w14:textId="77777777" w:rsidR="008602C2" w:rsidRDefault="008602C2" w:rsidP="00E20E52">
      <w:pPr>
        <w:spacing w:after="0" w:line="360" w:lineRule="auto"/>
        <w:contextualSpacing/>
        <w:jc w:val="both"/>
        <w:rPr>
          <w:lang w:val="en-US"/>
        </w:rPr>
      </w:pPr>
    </w:p>
    <w:p w14:paraId="01BD7142" w14:textId="042A7742" w:rsidR="00AF0AFB" w:rsidRPr="00AF0AFB" w:rsidRDefault="00AF0AFB" w:rsidP="00E20E52">
      <w:pPr>
        <w:spacing w:after="0" w:line="360" w:lineRule="auto"/>
        <w:contextualSpacing/>
        <w:jc w:val="both"/>
        <w:rPr>
          <w:lang w:val="en-US"/>
        </w:rPr>
      </w:pPr>
      <w:r w:rsidRPr="00AF0AFB">
        <w:rPr>
          <w:lang w:val="en-US"/>
        </w:rPr>
        <w:t xml:space="preserve">Under the first scenario, BAU, we assume consumption patterns and the per-capita emissions profile of 2019 </w:t>
      </w:r>
      <w:r w:rsidR="000F33EA">
        <w:rPr>
          <w:lang w:val="en-US"/>
        </w:rPr>
        <w:t xml:space="preserve">(or 2021 in the case of territorial-based emissions) </w:t>
      </w:r>
      <w:r w:rsidRPr="00AF0AFB">
        <w:rPr>
          <w:lang w:val="en-US"/>
        </w:rPr>
        <w:t xml:space="preserve">to be the same in 2030. As a result of population growth, the total 2030 emissions in each city will increase. The second scenario is built on the research of </w:t>
      </w:r>
      <w:r w:rsidRPr="00AF0AFB">
        <w:rPr>
          <w:lang w:val="en-US"/>
        </w:rPr>
        <w:fldChar w:fldCharType="begin"/>
      </w:r>
      <w:r w:rsidR="003821FD">
        <w:rPr>
          <w:lang w:val="en-US"/>
        </w:rPr>
        <w:instrText xml:space="preserve"> ADDIN ZOTERO_ITEM CSL_CITATION {"citationID":"3VhWWkSA","properties":{"formattedCitation":"(Harris et al. 2020)","plainCitation":"(Harris et al. 2020)","dontUpdate":true,"noteIndex":0},"citationItems":[{"id":4813,"uris":["http://zotero.org/groups/2281212/items/L57QRPM7"],"itemData":{"id":4813,"type":"article-journal","abstract":"The role of cities and their stakeholders in creating a sustainable low carbon society is becoming increasingly critical. Cities and their supply chains are responsible for almost 80% of the global energy consumption and over 60% of greenhouse gas emissions (GHG). It is expected that 70% of the global population will be living in urban areas by 2050. However, in general cities still quantify and report only their production-based GHG emissions and fail to account for their supply chains. There has been much less focus on the GHG emissions associated with consumption in cities, including household and government consumption. This paper compares the production-based GHG accounting method with the consumption-based method for ten European cities. This is performed for a base year (2010) and two divergent future scenarios for 2050, a business-as-usual (BAU) scenario and a post carbon (PC 2050) scenario. The PC2050 scenario was created by city stakeholders in the framework of the European research project POCACITO in (2014–2016). Consumption-based emissions are calculated using the EXIOBASE multi-regional input-output model. Compared to 2010, both BAU and PC2050 scenarios show significant decreases for production-based emissions, falling 31% and 68% respectively. However, during this period consumption-based emissions increase for eight cities, rising 33% and 35% respectively. This occurs despite the modelled improvements in global production efficiency for 2050 and the significant production-based reductions under the PC2050 scenarios. The increase in consumption-based emissions is primarily linked to rising GDP and a corresponding increase in spending and consumption, which override the local and global efficiency improvements. Hence the results highlight a notable disparity between the traditional focus on production-based accounting and consumption-based accounting. This suggests that future city actions should extend their focus on addressing the impact of consumption in addition to local energy production and emissions. It also suggests that city stakeholders are generally underestimating the impact of consumption and the responses required.","container-title":"Journal of Cleaner Production","DOI":"10.1016/j.jclepro.2019.119206","ISSN":"0959-6526","journalAbbreviation":"Journal of Cleaner Production","language":"en","page":"119206","source":"ScienceDirect","title":"Low carbon cities in 2050? GHG emissions of European cities using production-based and consumption-based emission accounting methods","title-short":"Low carbon cities in 2050?","URL":"https://www.sciencedirect.com/science/article/pii/S0959652619340764","volume":"248","author":[{"family":"Harris","given":"Steve"},{"family":"Weinzettel","given":"Jan"},{"family":"Bigano","given":"Andrea"},{"family":"Källmén","given":"Albin"}],"accessed":{"date-parts":[["2021",5,3]]},"issued":{"date-parts":[["2020",3,1]]}}}],"schema":"https://github.com/citation-style-language/schema/raw/master/csl-citation.json"} </w:instrText>
      </w:r>
      <w:r w:rsidRPr="00AF0AFB">
        <w:rPr>
          <w:lang w:val="en-US"/>
        </w:rPr>
        <w:fldChar w:fldCharType="separate"/>
      </w:r>
      <w:r w:rsidRPr="00AF0AFB">
        <w:rPr>
          <w:rFonts w:ascii="Calibri" w:hAnsi="Calibri" w:cs="Calibri"/>
          <w:lang w:val="en-US"/>
        </w:rPr>
        <w:t>Harris et al. (2020)</w:t>
      </w:r>
      <w:r w:rsidRPr="00AF0AFB">
        <w:rPr>
          <w:lang w:val="en-US"/>
        </w:rPr>
        <w:fldChar w:fldCharType="end"/>
      </w:r>
      <w:r w:rsidRPr="00AF0AFB">
        <w:rPr>
          <w:lang w:val="en-US"/>
        </w:rPr>
        <w:t xml:space="preserve">. It assumes a per-capita emissions increase of 17% due to increased consumption of goods and services, given anticipated economic growth. The third scenario considers a per-capita emissions reduction of 6%, building on the research of </w:t>
      </w:r>
      <w:r w:rsidRPr="00AF0AFB">
        <w:rPr>
          <w:lang w:val="en-US"/>
        </w:rPr>
        <w:fldChar w:fldCharType="begin"/>
      </w:r>
      <w:r w:rsidR="003821FD">
        <w:rPr>
          <w:lang w:val="en-US"/>
        </w:rPr>
        <w:instrText xml:space="preserve"> ADDIN ZOTERO_ITEM CSL_CITATION {"citationID":"Yx8OyANg","properties":{"formattedCitation":"(Wood et al. 2020)","plainCitation":"(Wood et al. 2020)","dontUpdate":true,"noteIndex":0},"citationItems":[{"id":4786,"uris":["http://zotero.org/groups/2281212/items/EAXHCS42"],"itemData":{"id":4786,"type":"article-journal","abstract":"Globalization of supply chains has resulted in rapid increases in emission transfers from the developing to the developed world. As outsourcing has risen, developed countries have been able to decarbonize domestically, at the expense of increased emissions in developing countries. However, the rapid improvement of carbon efficiency in developing regions together with the post-2008 deceleration in international trade raises the question of whether such embodied emission transfers have peaked. Here we update historical analysis, finding that emission transfers between OECD and non-OECD countries peaked in 2006, and have been declining since. The reversal is principally due to the reduction in the emissions intensity of traded goods, rather than the volume of trade. A more recent decline in embodied emissions transfers is also observed in trade between developing countries. We analyse whether these trends are likely to continue, by exploring a baseline and a Nationally Determined Contribution (NDC) scenario with the Macro-econometric Energy-Environment-Economy Model (E3ME) model. The results suggest that absolute embodied emissions will plateau at current levels or slowly return to pre-2008- crisis levels, and differences between the NDC and baseline scenarios imply that NDC policies will not result in significant carbon leakage. However, the share of national footprint embodied in imports, at least for countries with ambitious decarbonization policies, will likely increase. This suggests that, despite the world-wide stabilization of emissions transfers, addressing emissions embodied in imports will become increasingly important for reducing carbon footprints. Key policy insights Emissions embodied in imports have plateaued since 2006, and are unlikely to return to the peak of the mid-2000s. For developed countries, as domestic decarbonization occurs, the share of emissions embodied in imports as a percentage of the total national carbon footprint will increase. The Paris NDCs in themselves are unlikely to cause significant carbon leakage. Climate policy will ideally focus on reducing both production and consumption emissions, through a variety of mechanisms, especially centred around international assistance.","container-title":"Climate Policy","DOI":"10.1080/14693062.2019.1619507","ISSN":"1469-3062","issue":"sup1","note":"publisher: Taylor &amp; Francis\n_eprint: https://doi.org/10.1080/14693062.2019.1619507","page":"S14-S27","source":"Taylor and Francis+NEJM","title":"Beyond peak emission transfers: historical impacts of globalization and future impacts of climate policies on international emission transfers","title-short":"Beyond peak emission transfers","URL":"https://doi.org/10.1080/14693062.2019.1619507","volume":"20","author":[{"family":"Wood","given":"Richard"},{"family":"Grubb","given":"Michael"},{"family":"Anger-Kraavi","given":"Annela"},{"family":"Pollitt","given":"Hector"},{"family":"Rizzo","given":"Ben"},{"family":"Alexandri","given":"Eva"},{"family":"Stadler","given":"Konstantin"},{"family":"Moran","given":"Dan"},{"family":"Hertwich","given":"Edgar"},{"family":"Tukker","given":"Arnold"}],"accessed":{"date-parts":[["2021",5,17]]},"issued":{"date-parts":[["2020",4,22]]}}}],"schema":"https://github.com/citation-style-language/schema/raw/master/csl-citation.json"} </w:instrText>
      </w:r>
      <w:r w:rsidRPr="00AF0AFB">
        <w:rPr>
          <w:lang w:val="en-US"/>
        </w:rPr>
        <w:fldChar w:fldCharType="separate"/>
      </w:r>
      <w:r w:rsidRPr="00AF0AFB">
        <w:rPr>
          <w:rFonts w:ascii="Calibri" w:hAnsi="Calibri" w:cs="Calibri"/>
          <w:lang w:val="en-US"/>
        </w:rPr>
        <w:t>Wood et al. (2020)</w:t>
      </w:r>
      <w:r w:rsidRPr="00AF0AFB">
        <w:rPr>
          <w:lang w:val="en-US"/>
        </w:rPr>
        <w:fldChar w:fldCharType="end"/>
      </w:r>
      <w:r w:rsidRPr="00AF0AFB">
        <w:rPr>
          <w:lang w:val="en-US"/>
        </w:rPr>
        <w:t xml:space="preserve">. </w:t>
      </w:r>
    </w:p>
    <w:p w14:paraId="5BAE9E75" w14:textId="77777777" w:rsidR="00AF0AFB" w:rsidRDefault="00AF0AFB" w:rsidP="00E20E52">
      <w:pPr>
        <w:spacing w:after="0" w:line="360" w:lineRule="auto"/>
        <w:contextualSpacing/>
        <w:jc w:val="both"/>
        <w:rPr>
          <w:lang w:val="en-US"/>
        </w:rPr>
      </w:pPr>
    </w:p>
    <w:p w14:paraId="56A3F9C4" w14:textId="779C0EC2" w:rsidR="00737763" w:rsidRDefault="000F33EA" w:rsidP="00E20E52">
      <w:pPr>
        <w:spacing w:after="0" w:line="360" w:lineRule="auto"/>
        <w:contextualSpacing/>
        <w:jc w:val="both"/>
        <w:rPr>
          <w:lang w:val="en-US"/>
        </w:rPr>
      </w:pPr>
      <w:r>
        <w:rPr>
          <w:lang w:val="en-US"/>
        </w:rPr>
        <w:t>It is important to note that these are not our best projections for how (especially territorial</w:t>
      </w:r>
      <w:r w:rsidR="00595D20">
        <w:rPr>
          <w:lang w:val="en-US"/>
        </w:rPr>
        <w:t>-</w:t>
      </w:r>
      <w:r>
        <w:rPr>
          <w:lang w:val="en-US"/>
        </w:rPr>
        <w:t xml:space="preserve">based) emissions will develop until 2030. Given </w:t>
      </w:r>
      <w:r w:rsidR="00595D20">
        <w:rPr>
          <w:lang w:val="en-US"/>
        </w:rPr>
        <w:t>planned policies on national and EU level, we instead expect that territorial-based emissions will decrease</w:t>
      </w:r>
      <w:r w:rsidR="00C20465">
        <w:rPr>
          <w:lang w:val="en-US"/>
        </w:rPr>
        <w:t xml:space="preserve"> (Table 1)</w:t>
      </w:r>
      <w:r w:rsidR="00595D20">
        <w:rPr>
          <w:lang w:val="en-US"/>
        </w:rPr>
        <w:t xml:space="preserve">. </w:t>
      </w:r>
      <w:r w:rsidR="00C20465">
        <w:rPr>
          <w:lang w:val="en-US"/>
        </w:rPr>
        <w:t>These e</w:t>
      </w:r>
      <w:r w:rsidR="00737763">
        <w:rPr>
          <w:lang w:val="en-US"/>
        </w:rPr>
        <w:t xml:space="preserve">missions reduction </w:t>
      </w:r>
      <w:r w:rsidR="00C20465">
        <w:rPr>
          <w:lang w:val="en-US"/>
        </w:rPr>
        <w:t xml:space="preserve">estimates </w:t>
      </w:r>
      <w:r w:rsidR="00737763">
        <w:rPr>
          <w:lang w:val="en-US"/>
        </w:rPr>
        <w:t>from 2021-2030 based on EU and national policies</w:t>
      </w:r>
      <w:r w:rsidR="00C20465">
        <w:rPr>
          <w:lang w:val="en-US"/>
        </w:rPr>
        <w:t xml:space="preserve"> </w:t>
      </w:r>
      <w:r w:rsidR="00737763">
        <w:rPr>
          <w:lang w:val="en-US"/>
        </w:rPr>
        <w:t>can be used to construct a baseline scenario by pulling levers that generate emissions in line with overall emissions reductions below (as a point of comparison between planned action and additional climate action within municipalities)</w:t>
      </w:r>
      <w:r w:rsidR="00C20465">
        <w:rPr>
          <w:lang w:val="en-US"/>
        </w:rPr>
        <w:t>.</w:t>
      </w:r>
    </w:p>
    <w:p w14:paraId="5BBC4F1D" w14:textId="77777777" w:rsidR="002A79C5" w:rsidRDefault="002A79C5" w:rsidP="00E20E52">
      <w:pPr>
        <w:spacing w:after="0" w:line="360" w:lineRule="auto"/>
        <w:contextualSpacing/>
        <w:jc w:val="both"/>
        <w:rPr>
          <w:lang w:val="en-US"/>
        </w:rPr>
      </w:pPr>
    </w:p>
    <w:p w14:paraId="3164F8AF" w14:textId="214EE159" w:rsidR="00C20465" w:rsidRPr="00C20465" w:rsidRDefault="00C20465" w:rsidP="00C20465">
      <w:pPr>
        <w:pStyle w:val="Caption"/>
        <w:rPr>
          <w:sz w:val="22"/>
          <w:szCs w:val="22"/>
          <w:lang w:val="en-US"/>
        </w:rPr>
      </w:pPr>
      <w:r w:rsidRPr="00C20465">
        <w:rPr>
          <w:sz w:val="22"/>
          <w:szCs w:val="22"/>
          <w:lang w:val="en-US"/>
        </w:rPr>
        <w:t xml:space="preserve">Table </w:t>
      </w:r>
      <w:r w:rsidRPr="00C20465">
        <w:rPr>
          <w:sz w:val="22"/>
          <w:szCs w:val="22"/>
        </w:rPr>
        <w:fldChar w:fldCharType="begin"/>
      </w:r>
      <w:r w:rsidRPr="00C20465">
        <w:rPr>
          <w:sz w:val="22"/>
          <w:szCs w:val="22"/>
          <w:lang w:val="en-US"/>
        </w:rPr>
        <w:instrText xml:space="preserve"> SEQ Table \* ARABIC </w:instrText>
      </w:r>
      <w:r w:rsidRPr="00C20465">
        <w:rPr>
          <w:sz w:val="22"/>
          <w:szCs w:val="22"/>
        </w:rPr>
        <w:fldChar w:fldCharType="separate"/>
      </w:r>
      <w:r w:rsidR="00C80739">
        <w:rPr>
          <w:noProof/>
          <w:sz w:val="22"/>
          <w:szCs w:val="22"/>
          <w:lang w:val="en-US"/>
        </w:rPr>
        <w:t>1</w:t>
      </w:r>
      <w:r w:rsidRPr="00C20465">
        <w:rPr>
          <w:sz w:val="22"/>
          <w:szCs w:val="22"/>
        </w:rPr>
        <w:fldChar w:fldCharType="end"/>
      </w:r>
      <w:r w:rsidRPr="00C20465">
        <w:rPr>
          <w:sz w:val="22"/>
          <w:szCs w:val="22"/>
          <w:lang w:val="en-US"/>
        </w:rPr>
        <w:t>. Anticipated sectoral emission reductions given EU and national policies</w:t>
      </w:r>
      <w:r w:rsidR="00B86990">
        <w:rPr>
          <w:rStyle w:val="FootnoteReference"/>
          <w:sz w:val="22"/>
          <w:szCs w:val="22"/>
          <w:lang w:val="en-US"/>
        </w:rPr>
        <w:footnoteReference w:id="6"/>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33"/>
        <w:gridCol w:w="1111"/>
        <w:gridCol w:w="6256"/>
      </w:tblGrid>
      <w:tr w:rsidR="00737763" w:rsidRPr="00737763" w14:paraId="213DF7A6" w14:textId="77777777" w:rsidTr="00C20465">
        <w:trPr>
          <w:trHeight w:val="288"/>
        </w:trPr>
        <w:tc>
          <w:tcPr>
            <w:tcW w:w="1133" w:type="dxa"/>
            <w:shd w:val="pct10" w:color="auto" w:fill="auto"/>
            <w:noWrap/>
          </w:tcPr>
          <w:p w14:paraId="2251A389" w14:textId="7BC1A81E" w:rsidR="00737763" w:rsidRPr="00737763" w:rsidRDefault="00737763" w:rsidP="00E20E52">
            <w:pPr>
              <w:spacing w:after="0" w:line="360" w:lineRule="auto"/>
              <w:contextualSpacing/>
              <w:rPr>
                <w:rFonts w:ascii="Calibri" w:eastAsia="Times New Roman" w:hAnsi="Calibri" w:cs="Calibri"/>
                <w:b/>
                <w:bCs/>
                <w:color w:val="000000"/>
                <w:szCs w:val="22"/>
                <w:lang w:eastAsia="sv-SE"/>
              </w:rPr>
            </w:pPr>
            <w:proofErr w:type="spellStart"/>
            <w:r w:rsidRPr="00737763">
              <w:rPr>
                <w:rFonts w:ascii="Calibri" w:eastAsia="Times New Roman" w:hAnsi="Calibri" w:cs="Calibri"/>
                <w:b/>
                <w:bCs/>
                <w:color w:val="000000"/>
                <w:szCs w:val="22"/>
                <w:lang w:eastAsia="sv-SE"/>
              </w:rPr>
              <w:t>Sector</w:t>
            </w:r>
            <w:proofErr w:type="spellEnd"/>
          </w:p>
        </w:tc>
        <w:tc>
          <w:tcPr>
            <w:tcW w:w="1111" w:type="dxa"/>
            <w:shd w:val="pct10" w:color="auto" w:fill="auto"/>
            <w:noWrap/>
          </w:tcPr>
          <w:p w14:paraId="30FB83DB" w14:textId="6A832EC0" w:rsidR="00737763" w:rsidRPr="00737763" w:rsidRDefault="00737763" w:rsidP="00E20E52">
            <w:pPr>
              <w:spacing w:after="0" w:line="360" w:lineRule="auto"/>
              <w:contextualSpacing/>
              <w:jc w:val="right"/>
              <w:rPr>
                <w:rFonts w:ascii="Calibri" w:eastAsia="Times New Roman" w:hAnsi="Calibri" w:cs="Calibri"/>
                <w:b/>
                <w:bCs/>
                <w:color w:val="000000"/>
                <w:szCs w:val="22"/>
                <w:lang w:eastAsia="sv-SE"/>
              </w:rPr>
            </w:pPr>
            <w:proofErr w:type="spellStart"/>
            <w:r w:rsidRPr="00737763">
              <w:rPr>
                <w:rFonts w:ascii="Calibri" w:eastAsia="Times New Roman" w:hAnsi="Calibri" w:cs="Calibri"/>
                <w:b/>
                <w:bCs/>
                <w:color w:val="000000"/>
                <w:szCs w:val="22"/>
                <w:lang w:eastAsia="sv-SE"/>
              </w:rPr>
              <w:t>Remaining</w:t>
            </w:r>
            <w:proofErr w:type="spellEnd"/>
            <w:r w:rsidRPr="00737763">
              <w:rPr>
                <w:rFonts w:ascii="Calibri" w:eastAsia="Times New Roman" w:hAnsi="Calibri" w:cs="Calibri"/>
                <w:b/>
                <w:bCs/>
                <w:color w:val="000000"/>
                <w:szCs w:val="22"/>
                <w:lang w:eastAsia="sv-SE"/>
              </w:rPr>
              <w:t xml:space="preserve"> emissions</w:t>
            </w:r>
            <w:r>
              <w:rPr>
                <w:rFonts w:ascii="Calibri" w:eastAsia="Times New Roman" w:hAnsi="Calibri" w:cs="Calibri"/>
                <w:b/>
                <w:bCs/>
                <w:color w:val="000000"/>
                <w:szCs w:val="22"/>
                <w:lang w:eastAsia="sv-SE"/>
              </w:rPr>
              <w:t xml:space="preserve"> in 2030</w:t>
            </w:r>
          </w:p>
        </w:tc>
        <w:tc>
          <w:tcPr>
            <w:tcW w:w="6256" w:type="dxa"/>
            <w:shd w:val="pct10" w:color="auto" w:fill="auto"/>
            <w:noWrap/>
          </w:tcPr>
          <w:p w14:paraId="3BFE2E2B" w14:textId="6C77CDEE" w:rsidR="00737763" w:rsidRPr="00737763" w:rsidRDefault="00737763" w:rsidP="00E20E52">
            <w:pPr>
              <w:spacing w:after="0" w:line="360" w:lineRule="auto"/>
              <w:contextualSpacing/>
              <w:rPr>
                <w:rFonts w:ascii="Calibri" w:eastAsia="Times New Roman" w:hAnsi="Calibri" w:cs="Calibri"/>
                <w:b/>
                <w:bCs/>
                <w:color w:val="000000"/>
                <w:szCs w:val="22"/>
                <w:lang w:eastAsia="sv-SE"/>
              </w:rPr>
            </w:pPr>
            <w:proofErr w:type="spellStart"/>
            <w:r w:rsidRPr="00737763">
              <w:rPr>
                <w:rFonts w:ascii="Calibri" w:eastAsia="Times New Roman" w:hAnsi="Calibri" w:cs="Calibri"/>
                <w:b/>
                <w:bCs/>
                <w:color w:val="000000"/>
                <w:szCs w:val="22"/>
                <w:lang w:eastAsia="sv-SE"/>
              </w:rPr>
              <w:t>Comment</w:t>
            </w:r>
            <w:proofErr w:type="spellEnd"/>
          </w:p>
        </w:tc>
      </w:tr>
      <w:tr w:rsidR="00737763" w:rsidRPr="00B15857" w14:paraId="5F6E52E0" w14:textId="77777777" w:rsidTr="00C20465">
        <w:trPr>
          <w:trHeight w:val="288"/>
        </w:trPr>
        <w:tc>
          <w:tcPr>
            <w:tcW w:w="1133" w:type="dxa"/>
            <w:shd w:val="clear" w:color="auto" w:fill="auto"/>
            <w:noWrap/>
            <w:hideMark/>
          </w:tcPr>
          <w:p w14:paraId="16F23F88"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Total</w:t>
            </w:r>
          </w:p>
        </w:tc>
        <w:tc>
          <w:tcPr>
            <w:tcW w:w="1111" w:type="dxa"/>
            <w:shd w:val="clear" w:color="auto" w:fill="auto"/>
            <w:noWrap/>
            <w:hideMark/>
          </w:tcPr>
          <w:p w14:paraId="667C0F7B"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65%</w:t>
            </w:r>
          </w:p>
        </w:tc>
        <w:tc>
          <w:tcPr>
            <w:tcW w:w="6256" w:type="dxa"/>
            <w:shd w:val="clear" w:color="auto" w:fill="auto"/>
            <w:noWrap/>
            <w:hideMark/>
          </w:tcPr>
          <w:p w14:paraId="406AE209" w14:textId="77777777" w:rsidR="00737763" w:rsidRPr="00087F55" w:rsidRDefault="00737763" w:rsidP="00E20E52">
            <w:pPr>
              <w:spacing w:after="0" w:line="360" w:lineRule="auto"/>
              <w:contextualSpacing/>
              <w:rPr>
                <w:rFonts w:ascii="Calibri" w:eastAsia="Times New Roman" w:hAnsi="Calibri" w:cs="Calibri"/>
                <w:color w:val="000000"/>
                <w:szCs w:val="22"/>
                <w:lang w:val="en-US" w:eastAsia="sv-SE"/>
              </w:rPr>
            </w:pPr>
            <w:r w:rsidRPr="00087F55">
              <w:rPr>
                <w:rFonts w:ascii="Calibri" w:eastAsia="Times New Roman" w:hAnsi="Calibri" w:cs="Calibri"/>
                <w:color w:val="000000"/>
                <w:szCs w:val="22"/>
                <w:lang w:val="en-US" w:eastAsia="sv-SE"/>
              </w:rPr>
              <w:t>Based on national aggregation of categories below, will differ across municipality</w:t>
            </w:r>
          </w:p>
        </w:tc>
      </w:tr>
      <w:tr w:rsidR="00737763" w:rsidRPr="00B15857" w14:paraId="3A484E0C" w14:textId="77777777" w:rsidTr="00C20465">
        <w:trPr>
          <w:trHeight w:val="288"/>
        </w:trPr>
        <w:tc>
          <w:tcPr>
            <w:tcW w:w="1133" w:type="dxa"/>
            <w:shd w:val="clear" w:color="auto" w:fill="auto"/>
            <w:noWrap/>
            <w:hideMark/>
          </w:tcPr>
          <w:p w14:paraId="266E52E3"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Transport</w:t>
            </w:r>
          </w:p>
        </w:tc>
        <w:tc>
          <w:tcPr>
            <w:tcW w:w="1111" w:type="dxa"/>
            <w:shd w:val="clear" w:color="auto" w:fill="auto"/>
            <w:noWrap/>
            <w:hideMark/>
          </w:tcPr>
          <w:p w14:paraId="716E9D70"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76%</w:t>
            </w:r>
          </w:p>
        </w:tc>
        <w:tc>
          <w:tcPr>
            <w:tcW w:w="6256" w:type="dxa"/>
            <w:shd w:val="clear" w:color="auto" w:fill="auto"/>
            <w:noWrap/>
            <w:hideMark/>
          </w:tcPr>
          <w:p w14:paraId="3B9ABCC3"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Based on national aggregation of below transport means, will differ across municipalities</w:t>
            </w:r>
          </w:p>
        </w:tc>
      </w:tr>
      <w:tr w:rsidR="00737763" w:rsidRPr="00B15857" w14:paraId="10C6EFEB" w14:textId="77777777" w:rsidTr="00C20465">
        <w:trPr>
          <w:trHeight w:val="288"/>
        </w:trPr>
        <w:tc>
          <w:tcPr>
            <w:tcW w:w="1133" w:type="dxa"/>
            <w:shd w:val="clear" w:color="auto" w:fill="auto"/>
            <w:noWrap/>
            <w:hideMark/>
          </w:tcPr>
          <w:p w14:paraId="02E6E799"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Cars</w:t>
            </w:r>
          </w:p>
        </w:tc>
        <w:tc>
          <w:tcPr>
            <w:tcW w:w="1111" w:type="dxa"/>
            <w:shd w:val="clear" w:color="auto" w:fill="auto"/>
            <w:noWrap/>
            <w:hideMark/>
          </w:tcPr>
          <w:p w14:paraId="6F4F85C3"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6256" w:type="dxa"/>
            <w:shd w:val="clear" w:color="auto" w:fill="auto"/>
            <w:noWrap/>
            <w:hideMark/>
          </w:tcPr>
          <w:p w14:paraId="58CB77FC"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Current national level of sales of electric cars expected to increase with EU minimum to 2030, assuming a reduction obligation of 6% over the whole period, assuming EU ETS BRT implemented in 2027 and car emissions follow the LRF</w:t>
            </w:r>
          </w:p>
        </w:tc>
      </w:tr>
      <w:tr w:rsidR="00737763" w:rsidRPr="00B15857" w14:paraId="7AE2F689" w14:textId="77777777" w:rsidTr="00C20465">
        <w:trPr>
          <w:trHeight w:val="288"/>
        </w:trPr>
        <w:tc>
          <w:tcPr>
            <w:tcW w:w="1133" w:type="dxa"/>
            <w:shd w:val="clear" w:color="auto" w:fill="auto"/>
            <w:noWrap/>
            <w:hideMark/>
          </w:tcPr>
          <w:p w14:paraId="3AEEB707"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Heavy trucks</w:t>
            </w:r>
          </w:p>
        </w:tc>
        <w:tc>
          <w:tcPr>
            <w:tcW w:w="1111" w:type="dxa"/>
            <w:shd w:val="clear" w:color="auto" w:fill="auto"/>
            <w:noWrap/>
            <w:hideMark/>
          </w:tcPr>
          <w:p w14:paraId="72F06B45"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83%</w:t>
            </w:r>
          </w:p>
        </w:tc>
        <w:tc>
          <w:tcPr>
            <w:tcW w:w="6256" w:type="dxa"/>
            <w:shd w:val="clear" w:color="auto" w:fill="auto"/>
            <w:noWrap/>
            <w:hideMark/>
          </w:tcPr>
          <w:p w14:paraId="0C502D35"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EU target for heavy duty vehicles is 5 percentage points below that of light duty vehicles</w:t>
            </w:r>
          </w:p>
        </w:tc>
      </w:tr>
      <w:tr w:rsidR="00737763" w:rsidRPr="00B15857" w14:paraId="44DAA199" w14:textId="77777777" w:rsidTr="00C20465">
        <w:trPr>
          <w:trHeight w:val="288"/>
        </w:trPr>
        <w:tc>
          <w:tcPr>
            <w:tcW w:w="1133" w:type="dxa"/>
            <w:shd w:val="clear" w:color="auto" w:fill="auto"/>
            <w:noWrap/>
            <w:hideMark/>
          </w:tcPr>
          <w:p w14:paraId="7018CD05"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Light</w:t>
            </w:r>
            <w:proofErr w:type="spellEnd"/>
            <w:r w:rsidRPr="00737763">
              <w:rPr>
                <w:rFonts w:ascii="Calibri" w:eastAsia="Times New Roman" w:hAnsi="Calibri" w:cs="Calibri"/>
                <w:color w:val="000000"/>
                <w:szCs w:val="22"/>
                <w:lang w:eastAsia="sv-SE"/>
              </w:rPr>
              <w:t xml:space="preserve"> trucks</w:t>
            </w:r>
          </w:p>
        </w:tc>
        <w:tc>
          <w:tcPr>
            <w:tcW w:w="1111" w:type="dxa"/>
            <w:shd w:val="clear" w:color="auto" w:fill="auto"/>
            <w:noWrap/>
            <w:hideMark/>
          </w:tcPr>
          <w:p w14:paraId="027E1E59"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78%</w:t>
            </w:r>
          </w:p>
        </w:tc>
        <w:tc>
          <w:tcPr>
            <w:tcW w:w="6256" w:type="dxa"/>
            <w:shd w:val="clear" w:color="auto" w:fill="auto"/>
            <w:noWrap/>
            <w:hideMark/>
          </w:tcPr>
          <w:p w14:paraId="3B5EF49B"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EU target for light duty vehicles is 5 percentage points below that of cars</w:t>
            </w:r>
          </w:p>
        </w:tc>
      </w:tr>
      <w:tr w:rsidR="00737763" w:rsidRPr="00B15857" w14:paraId="2822E3E8" w14:textId="77777777" w:rsidTr="00C20465">
        <w:trPr>
          <w:trHeight w:val="288"/>
        </w:trPr>
        <w:tc>
          <w:tcPr>
            <w:tcW w:w="1133" w:type="dxa"/>
            <w:shd w:val="clear" w:color="auto" w:fill="auto"/>
            <w:noWrap/>
            <w:hideMark/>
          </w:tcPr>
          <w:p w14:paraId="12763969"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Buses</w:t>
            </w:r>
          </w:p>
        </w:tc>
        <w:tc>
          <w:tcPr>
            <w:tcW w:w="1111" w:type="dxa"/>
            <w:shd w:val="clear" w:color="auto" w:fill="auto"/>
            <w:noWrap/>
            <w:hideMark/>
          </w:tcPr>
          <w:p w14:paraId="5C8527EA"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83%</w:t>
            </w:r>
          </w:p>
        </w:tc>
        <w:tc>
          <w:tcPr>
            <w:tcW w:w="6256" w:type="dxa"/>
            <w:shd w:val="clear" w:color="auto" w:fill="auto"/>
            <w:noWrap/>
            <w:hideMark/>
          </w:tcPr>
          <w:p w14:paraId="7B5933BD"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 xml:space="preserve">Assuming the same as for other </w:t>
            </w:r>
            <w:proofErr w:type="gramStart"/>
            <w:r w:rsidRPr="001E3567">
              <w:rPr>
                <w:rFonts w:ascii="Calibri" w:eastAsia="Times New Roman" w:hAnsi="Calibri" w:cs="Calibri"/>
                <w:color w:val="000000"/>
                <w:szCs w:val="22"/>
                <w:lang w:val="en-US" w:eastAsia="sv-SE"/>
              </w:rPr>
              <w:t>heavy duty</w:t>
            </w:r>
            <w:proofErr w:type="gramEnd"/>
            <w:r w:rsidRPr="001E3567">
              <w:rPr>
                <w:rFonts w:ascii="Calibri" w:eastAsia="Times New Roman" w:hAnsi="Calibri" w:cs="Calibri"/>
                <w:color w:val="000000"/>
                <w:szCs w:val="22"/>
                <w:lang w:val="en-US" w:eastAsia="sv-SE"/>
              </w:rPr>
              <w:t xml:space="preserve"> vehicles</w:t>
            </w:r>
          </w:p>
        </w:tc>
      </w:tr>
      <w:tr w:rsidR="00737763" w:rsidRPr="00B15857" w14:paraId="480D22C6" w14:textId="77777777" w:rsidTr="00C20465">
        <w:trPr>
          <w:trHeight w:val="288"/>
        </w:trPr>
        <w:tc>
          <w:tcPr>
            <w:tcW w:w="1133" w:type="dxa"/>
            <w:shd w:val="clear" w:color="auto" w:fill="auto"/>
            <w:noWrap/>
            <w:hideMark/>
          </w:tcPr>
          <w:p w14:paraId="5D8DF3B3"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Air</w:t>
            </w:r>
          </w:p>
        </w:tc>
        <w:tc>
          <w:tcPr>
            <w:tcW w:w="1111" w:type="dxa"/>
            <w:shd w:val="clear" w:color="auto" w:fill="auto"/>
            <w:noWrap/>
            <w:hideMark/>
          </w:tcPr>
          <w:p w14:paraId="29CB119D"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6256" w:type="dxa"/>
            <w:shd w:val="clear" w:color="auto" w:fill="auto"/>
            <w:noWrap/>
            <w:hideMark/>
          </w:tcPr>
          <w:p w14:paraId="6E6F89FA" w14:textId="77777777" w:rsidR="00737763" w:rsidRPr="001E04AD" w:rsidRDefault="00737763" w:rsidP="00E20E52">
            <w:pPr>
              <w:spacing w:after="0" w:line="360" w:lineRule="auto"/>
              <w:contextualSpacing/>
              <w:rPr>
                <w:rFonts w:ascii="Calibri" w:eastAsia="Times New Roman" w:hAnsi="Calibri" w:cs="Calibri"/>
                <w:color w:val="000000"/>
                <w:szCs w:val="22"/>
                <w:lang w:val="en-GB" w:eastAsia="sv-SE"/>
              </w:rPr>
            </w:pPr>
            <w:r w:rsidRPr="001E04AD">
              <w:rPr>
                <w:rFonts w:ascii="Calibri" w:eastAsia="Times New Roman" w:hAnsi="Calibri" w:cs="Calibri"/>
                <w:color w:val="000000"/>
                <w:szCs w:val="22"/>
                <w:lang w:val="en-GB" w:eastAsia="sv-SE"/>
              </w:rPr>
              <w:t>Based on national reduction obligation from aviation fuels</w:t>
            </w:r>
          </w:p>
        </w:tc>
      </w:tr>
      <w:tr w:rsidR="00737763" w:rsidRPr="00B15857" w14:paraId="26E5D6A7" w14:textId="77777777" w:rsidTr="00C20465">
        <w:trPr>
          <w:trHeight w:val="288"/>
        </w:trPr>
        <w:tc>
          <w:tcPr>
            <w:tcW w:w="1133" w:type="dxa"/>
            <w:shd w:val="clear" w:color="auto" w:fill="auto"/>
            <w:noWrap/>
            <w:hideMark/>
          </w:tcPr>
          <w:p w14:paraId="3AFBCF96"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Other</w:t>
            </w:r>
            <w:proofErr w:type="spellEnd"/>
            <w:r w:rsidRPr="00737763">
              <w:rPr>
                <w:rFonts w:ascii="Calibri" w:eastAsia="Times New Roman" w:hAnsi="Calibri" w:cs="Calibri"/>
                <w:color w:val="000000"/>
                <w:szCs w:val="22"/>
                <w:lang w:eastAsia="sv-SE"/>
              </w:rPr>
              <w:t xml:space="preserve"> transport</w:t>
            </w:r>
          </w:p>
        </w:tc>
        <w:tc>
          <w:tcPr>
            <w:tcW w:w="1111" w:type="dxa"/>
            <w:shd w:val="clear" w:color="auto" w:fill="auto"/>
            <w:noWrap/>
            <w:hideMark/>
          </w:tcPr>
          <w:p w14:paraId="6957762C"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6256" w:type="dxa"/>
            <w:shd w:val="clear" w:color="auto" w:fill="auto"/>
            <w:noWrap/>
            <w:hideMark/>
          </w:tcPr>
          <w:p w14:paraId="5B5D572A"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Assuming similar reduction as Sweden's commitment under the Effort Sharing Regulation</w:t>
            </w:r>
          </w:p>
        </w:tc>
      </w:tr>
      <w:tr w:rsidR="00737763" w:rsidRPr="00B15857" w14:paraId="04ED6C41" w14:textId="77777777" w:rsidTr="00C20465">
        <w:trPr>
          <w:trHeight w:val="288"/>
        </w:trPr>
        <w:tc>
          <w:tcPr>
            <w:tcW w:w="1133" w:type="dxa"/>
            <w:shd w:val="clear" w:color="auto" w:fill="auto"/>
            <w:noWrap/>
            <w:hideMark/>
          </w:tcPr>
          <w:p w14:paraId="5A6889D3"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Industry</w:t>
            </w:r>
          </w:p>
        </w:tc>
        <w:tc>
          <w:tcPr>
            <w:tcW w:w="1111" w:type="dxa"/>
            <w:shd w:val="clear" w:color="auto" w:fill="auto"/>
            <w:noWrap/>
            <w:hideMark/>
          </w:tcPr>
          <w:p w14:paraId="777C5697"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50%</w:t>
            </w:r>
          </w:p>
        </w:tc>
        <w:tc>
          <w:tcPr>
            <w:tcW w:w="6256" w:type="dxa"/>
            <w:shd w:val="clear" w:color="auto" w:fill="auto"/>
            <w:noWrap/>
            <w:hideMark/>
          </w:tcPr>
          <w:p w14:paraId="7812D11E"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Based on ETS allowance reduction in line with Commission proposal</w:t>
            </w:r>
          </w:p>
        </w:tc>
      </w:tr>
      <w:tr w:rsidR="00737763" w:rsidRPr="00B15857" w14:paraId="3D7604DE" w14:textId="77777777" w:rsidTr="00C20465">
        <w:trPr>
          <w:trHeight w:val="288"/>
        </w:trPr>
        <w:tc>
          <w:tcPr>
            <w:tcW w:w="1133" w:type="dxa"/>
            <w:shd w:val="clear" w:color="auto" w:fill="auto"/>
            <w:noWrap/>
            <w:hideMark/>
          </w:tcPr>
          <w:p w14:paraId="235EB2EF"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Agriculture</w:t>
            </w:r>
            <w:proofErr w:type="spellEnd"/>
          </w:p>
        </w:tc>
        <w:tc>
          <w:tcPr>
            <w:tcW w:w="1111" w:type="dxa"/>
            <w:shd w:val="clear" w:color="auto" w:fill="auto"/>
            <w:noWrap/>
            <w:hideMark/>
          </w:tcPr>
          <w:p w14:paraId="030352F2"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6256" w:type="dxa"/>
            <w:shd w:val="clear" w:color="auto" w:fill="auto"/>
            <w:noWrap/>
            <w:hideMark/>
          </w:tcPr>
          <w:p w14:paraId="3191B268"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Assuming similar reduction as Sweden's commitment under the Effort Sharing Regulation</w:t>
            </w:r>
          </w:p>
        </w:tc>
      </w:tr>
      <w:tr w:rsidR="00737763" w:rsidRPr="00B15857" w14:paraId="05EC376B" w14:textId="77777777" w:rsidTr="00C20465">
        <w:trPr>
          <w:trHeight w:val="288"/>
        </w:trPr>
        <w:tc>
          <w:tcPr>
            <w:tcW w:w="1133" w:type="dxa"/>
            <w:shd w:val="clear" w:color="auto" w:fill="auto"/>
            <w:noWrap/>
            <w:hideMark/>
          </w:tcPr>
          <w:p w14:paraId="73A59542"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Electricity</w:t>
            </w:r>
            <w:proofErr w:type="spellEnd"/>
            <w:r w:rsidRPr="00737763">
              <w:rPr>
                <w:rFonts w:ascii="Calibri" w:eastAsia="Times New Roman" w:hAnsi="Calibri" w:cs="Calibri"/>
                <w:color w:val="000000"/>
                <w:szCs w:val="22"/>
                <w:lang w:eastAsia="sv-SE"/>
              </w:rPr>
              <w:t xml:space="preserve"> and DH</w:t>
            </w:r>
          </w:p>
        </w:tc>
        <w:tc>
          <w:tcPr>
            <w:tcW w:w="1111" w:type="dxa"/>
            <w:shd w:val="clear" w:color="auto" w:fill="auto"/>
            <w:noWrap/>
            <w:hideMark/>
          </w:tcPr>
          <w:p w14:paraId="325BF24C"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50%</w:t>
            </w:r>
          </w:p>
        </w:tc>
        <w:tc>
          <w:tcPr>
            <w:tcW w:w="6256" w:type="dxa"/>
            <w:shd w:val="clear" w:color="auto" w:fill="auto"/>
            <w:noWrap/>
            <w:hideMark/>
          </w:tcPr>
          <w:p w14:paraId="0C6B280D"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Based on ETS allowance reduction in line with Commission proposal</w:t>
            </w:r>
          </w:p>
        </w:tc>
      </w:tr>
      <w:tr w:rsidR="00737763" w:rsidRPr="00B15857" w14:paraId="53E405B8" w14:textId="77777777" w:rsidTr="00C20465">
        <w:trPr>
          <w:trHeight w:val="288"/>
        </w:trPr>
        <w:tc>
          <w:tcPr>
            <w:tcW w:w="1133" w:type="dxa"/>
            <w:shd w:val="clear" w:color="auto" w:fill="auto"/>
            <w:noWrap/>
            <w:hideMark/>
          </w:tcPr>
          <w:p w14:paraId="5216BC4B"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Own</w:t>
            </w:r>
            <w:proofErr w:type="spellEnd"/>
            <w:r w:rsidRPr="00737763">
              <w:rPr>
                <w:rFonts w:ascii="Calibri" w:eastAsia="Times New Roman" w:hAnsi="Calibri" w:cs="Calibri"/>
                <w:color w:val="000000"/>
                <w:szCs w:val="22"/>
                <w:lang w:eastAsia="sv-SE"/>
              </w:rPr>
              <w:t xml:space="preserve"> </w:t>
            </w:r>
            <w:proofErr w:type="spellStart"/>
            <w:r w:rsidRPr="00737763">
              <w:rPr>
                <w:rFonts w:ascii="Calibri" w:eastAsia="Times New Roman" w:hAnsi="Calibri" w:cs="Calibri"/>
                <w:color w:val="000000"/>
                <w:szCs w:val="22"/>
                <w:lang w:eastAsia="sv-SE"/>
              </w:rPr>
              <w:t>heating</w:t>
            </w:r>
            <w:proofErr w:type="spellEnd"/>
          </w:p>
        </w:tc>
        <w:tc>
          <w:tcPr>
            <w:tcW w:w="1111" w:type="dxa"/>
            <w:shd w:val="clear" w:color="auto" w:fill="auto"/>
            <w:noWrap/>
            <w:hideMark/>
          </w:tcPr>
          <w:p w14:paraId="4D425A78"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81%</w:t>
            </w:r>
          </w:p>
        </w:tc>
        <w:tc>
          <w:tcPr>
            <w:tcW w:w="6256" w:type="dxa"/>
            <w:shd w:val="clear" w:color="auto" w:fill="auto"/>
            <w:noWrap/>
            <w:hideMark/>
          </w:tcPr>
          <w:p w14:paraId="0595838A"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Following EU ETS BRT linear reduction factor from 2027</w:t>
            </w:r>
          </w:p>
        </w:tc>
      </w:tr>
      <w:tr w:rsidR="00737763" w:rsidRPr="00B15857" w14:paraId="5FEC43B4" w14:textId="77777777" w:rsidTr="00C20465">
        <w:trPr>
          <w:trHeight w:val="288"/>
        </w:trPr>
        <w:tc>
          <w:tcPr>
            <w:tcW w:w="1133" w:type="dxa"/>
            <w:shd w:val="clear" w:color="auto" w:fill="auto"/>
            <w:noWrap/>
            <w:hideMark/>
          </w:tcPr>
          <w:p w14:paraId="6DBC53B6"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Work</w:t>
            </w:r>
            <w:proofErr w:type="spellEnd"/>
            <w:r w:rsidRPr="00737763">
              <w:rPr>
                <w:rFonts w:ascii="Calibri" w:eastAsia="Times New Roman" w:hAnsi="Calibri" w:cs="Calibri"/>
                <w:color w:val="000000"/>
                <w:szCs w:val="22"/>
                <w:lang w:eastAsia="sv-SE"/>
              </w:rPr>
              <w:t xml:space="preserve"> </w:t>
            </w:r>
            <w:proofErr w:type="spellStart"/>
            <w:r w:rsidRPr="00737763">
              <w:rPr>
                <w:rFonts w:ascii="Calibri" w:eastAsia="Times New Roman" w:hAnsi="Calibri" w:cs="Calibri"/>
                <w:color w:val="000000"/>
                <w:szCs w:val="22"/>
                <w:lang w:eastAsia="sv-SE"/>
              </w:rPr>
              <w:t>machinery</w:t>
            </w:r>
            <w:proofErr w:type="spellEnd"/>
          </w:p>
        </w:tc>
        <w:tc>
          <w:tcPr>
            <w:tcW w:w="1111" w:type="dxa"/>
            <w:shd w:val="clear" w:color="auto" w:fill="auto"/>
            <w:noWrap/>
            <w:hideMark/>
          </w:tcPr>
          <w:p w14:paraId="6CE44E39"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81%</w:t>
            </w:r>
          </w:p>
        </w:tc>
        <w:tc>
          <w:tcPr>
            <w:tcW w:w="6256" w:type="dxa"/>
            <w:shd w:val="clear" w:color="auto" w:fill="auto"/>
            <w:noWrap/>
            <w:hideMark/>
          </w:tcPr>
          <w:p w14:paraId="0D99CA22"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Following EU ETS BRT linear reduction factor from 2027 (assuming Sweden chooses to include it)</w:t>
            </w:r>
          </w:p>
        </w:tc>
      </w:tr>
      <w:tr w:rsidR="00737763" w:rsidRPr="00B15857" w14:paraId="0A8BAC87" w14:textId="77777777" w:rsidTr="00C20465">
        <w:trPr>
          <w:trHeight w:val="288"/>
        </w:trPr>
        <w:tc>
          <w:tcPr>
            <w:tcW w:w="1133" w:type="dxa"/>
            <w:shd w:val="clear" w:color="auto" w:fill="auto"/>
            <w:noWrap/>
            <w:hideMark/>
          </w:tcPr>
          <w:p w14:paraId="05EE49EE"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 xml:space="preserve">Product </w:t>
            </w:r>
            <w:proofErr w:type="spellStart"/>
            <w:r w:rsidRPr="00737763">
              <w:rPr>
                <w:rFonts w:ascii="Calibri" w:eastAsia="Times New Roman" w:hAnsi="Calibri" w:cs="Calibri"/>
                <w:color w:val="000000"/>
                <w:szCs w:val="22"/>
                <w:lang w:eastAsia="sv-SE"/>
              </w:rPr>
              <w:t>use</w:t>
            </w:r>
            <w:proofErr w:type="spellEnd"/>
          </w:p>
        </w:tc>
        <w:tc>
          <w:tcPr>
            <w:tcW w:w="1111" w:type="dxa"/>
            <w:shd w:val="clear" w:color="auto" w:fill="auto"/>
            <w:noWrap/>
            <w:hideMark/>
          </w:tcPr>
          <w:p w14:paraId="2196D467"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6256" w:type="dxa"/>
            <w:shd w:val="clear" w:color="auto" w:fill="auto"/>
            <w:noWrap/>
            <w:hideMark/>
          </w:tcPr>
          <w:p w14:paraId="325F3BF3"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Assuming similar reduction as Sweden's commitment under the Effort Sharing Regulation</w:t>
            </w:r>
          </w:p>
        </w:tc>
      </w:tr>
      <w:tr w:rsidR="00737763" w:rsidRPr="00B15857" w14:paraId="6CE893B7" w14:textId="77777777" w:rsidTr="00C20465">
        <w:trPr>
          <w:trHeight w:val="288"/>
        </w:trPr>
        <w:tc>
          <w:tcPr>
            <w:tcW w:w="1133" w:type="dxa"/>
            <w:shd w:val="clear" w:color="auto" w:fill="auto"/>
            <w:noWrap/>
            <w:hideMark/>
          </w:tcPr>
          <w:p w14:paraId="2B6662F4"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Waste</w:t>
            </w:r>
          </w:p>
        </w:tc>
        <w:tc>
          <w:tcPr>
            <w:tcW w:w="1111" w:type="dxa"/>
            <w:shd w:val="clear" w:color="auto" w:fill="auto"/>
            <w:noWrap/>
            <w:hideMark/>
          </w:tcPr>
          <w:p w14:paraId="11EEEF0E"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6256" w:type="dxa"/>
            <w:shd w:val="clear" w:color="auto" w:fill="auto"/>
            <w:noWrap/>
            <w:hideMark/>
          </w:tcPr>
          <w:p w14:paraId="16559958"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Assuming similar reduction as Sweden's commitment under the Effort Sharing Regulation</w:t>
            </w:r>
          </w:p>
        </w:tc>
      </w:tr>
      <w:tr w:rsidR="00737763" w:rsidRPr="00B15857" w14:paraId="53138FDD" w14:textId="77777777" w:rsidTr="00C20465">
        <w:trPr>
          <w:trHeight w:val="288"/>
        </w:trPr>
        <w:tc>
          <w:tcPr>
            <w:tcW w:w="1133" w:type="dxa"/>
            <w:shd w:val="clear" w:color="auto" w:fill="auto"/>
            <w:noWrap/>
            <w:hideMark/>
          </w:tcPr>
          <w:p w14:paraId="3177D003" w14:textId="77777777" w:rsidR="00737763" w:rsidRPr="00737763" w:rsidRDefault="00737763" w:rsidP="00E20E52">
            <w:pPr>
              <w:spacing w:after="0" w:line="360" w:lineRule="auto"/>
              <w:contextualSpacing/>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Foreign</w:t>
            </w:r>
            <w:proofErr w:type="spellEnd"/>
            <w:r w:rsidRPr="00737763">
              <w:rPr>
                <w:rFonts w:ascii="Calibri" w:eastAsia="Times New Roman" w:hAnsi="Calibri" w:cs="Calibri"/>
                <w:color w:val="000000"/>
                <w:szCs w:val="22"/>
                <w:lang w:eastAsia="sv-SE"/>
              </w:rPr>
              <w:t xml:space="preserve"> transport</w:t>
            </w:r>
          </w:p>
        </w:tc>
        <w:tc>
          <w:tcPr>
            <w:tcW w:w="1111" w:type="dxa"/>
            <w:shd w:val="clear" w:color="auto" w:fill="auto"/>
            <w:noWrap/>
            <w:hideMark/>
          </w:tcPr>
          <w:p w14:paraId="5C73D8BB" w14:textId="77777777" w:rsidR="00737763" w:rsidRPr="00737763" w:rsidRDefault="00737763" w:rsidP="00E20E52">
            <w:pPr>
              <w:spacing w:after="0" w:line="360" w:lineRule="auto"/>
              <w:contextualSpacing/>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6256" w:type="dxa"/>
            <w:shd w:val="clear" w:color="auto" w:fill="auto"/>
            <w:noWrap/>
            <w:hideMark/>
          </w:tcPr>
          <w:p w14:paraId="634E6F60" w14:textId="77777777" w:rsidR="00737763" w:rsidRPr="001E3567" w:rsidRDefault="00737763" w:rsidP="00E20E52">
            <w:pPr>
              <w:spacing w:after="0" w:line="360" w:lineRule="auto"/>
              <w:contextualSpacing/>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Assuming similar reduction as Sweden's commitment under the Effort Sharing Regulation</w:t>
            </w:r>
          </w:p>
        </w:tc>
      </w:tr>
    </w:tbl>
    <w:p w14:paraId="084679F2" w14:textId="77777777" w:rsidR="00AF0AFB" w:rsidRPr="00AF0AFB" w:rsidRDefault="00AF0AFB" w:rsidP="00E20E52">
      <w:pPr>
        <w:pStyle w:val="Heading2"/>
        <w:numPr>
          <w:ilvl w:val="1"/>
          <w:numId w:val="2"/>
        </w:numPr>
        <w:spacing w:before="0" w:line="360" w:lineRule="auto"/>
        <w:ind w:left="792" w:hanging="432"/>
        <w:contextualSpacing/>
        <w:jc w:val="both"/>
        <w:rPr>
          <w:lang w:val="en-US"/>
        </w:rPr>
      </w:pPr>
      <w:bookmarkStart w:id="8" w:name="_Toc144478184"/>
      <w:r w:rsidRPr="00AF0AFB">
        <w:rPr>
          <w:lang w:val="en-US"/>
        </w:rPr>
        <w:t>The model’s assumptions</w:t>
      </w:r>
      <w:bookmarkEnd w:id="8"/>
    </w:p>
    <w:p w14:paraId="530DC6E9" w14:textId="1293FE5A" w:rsidR="0023676C" w:rsidRDefault="00AF0AFB" w:rsidP="00E20E52">
      <w:pPr>
        <w:spacing w:after="0" w:line="360" w:lineRule="auto"/>
        <w:contextualSpacing/>
        <w:jc w:val="both"/>
        <w:rPr>
          <w:lang w:val="en-US"/>
        </w:rPr>
      </w:pPr>
      <w:r w:rsidRPr="00AF0AFB">
        <w:rPr>
          <w:lang w:val="en-US"/>
        </w:rPr>
        <w:t>The key assumptions underpinning the computation are described below.</w:t>
      </w:r>
    </w:p>
    <w:p w14:paraId="33ED6AF2" w14:textId="77777777" w:rsidR="005403F4" w:rsidRDefault="005403F4" w:rsidP="00E20E52">
      <w:pPr>
        <w:spacing w:after="0" w:line="360" w:lineRule="auto"/>
        <w:contextualSpacing/>
        <w:jc w:val="both"/>
        <w:rPr>
          <w:lang w:val="en-US"/>
        </w:rPr>
      </w:pPr>
    </w:p>
    <w:p w14:paraId="5143D98B" w14:textId="63895904" w:rsidR="005403F4" w:rsidRPr="005403F4" w:rsidRDefault="005403F4" w:rsidP="00DC1FA0">
      <w:pPr>
        <w:pStyle w:val="Heading3"/>
        <w:rPr>
          <w:lang w:val="en-US"/>
        </w:rPr>
      </w:pPr>
      <w:r w:rsidRPr="005403F4">
        <w:rPr>
          <w:lang w:val="en-US"/>
        </w:rPr>
        <w:t>Territorial-based emissions assumptions</w:t>
      </w:r>
    </w:p>
    <w:p w14:paraId="54801DD1" w14:textId="2EE2E328" w:rsidR="0068675A" w:rsidRPr="005403F4" w:rsidRDefault="0068675A" w:rsidP="00DC1FA0">
      <w:pPr>
        <w:pStyle w:val="Heading4"/>
        <w:rPr>
          <w:lang w:val="en-US"/>
        </w:rPr>
      </w:pPr>
      <w:r w:rsidRPr="005403F4">
        <w:rPr>
          <w:lang w:val="en-US"/>
        </w:rPr>
        <w:t>Transport sector</w:t>
      </w:r>
    </w:p>
    <w:p w14:paraId="6B4046DF" w14:textId="7F5B6F0C" w:rsidR="0068675A" w:rsidRDefault="00E969A6" w:rsidP="00E20E52">
      <w:pPr>
        <w:spacing w:after="0" w:line="360" w:lineRule="auto"/>
        <w:contextualSpacing/>
        <w:jc w:val="both"/>
        <w:rPr>
          <w:lang w:val="en-US"/>
        </w:rPr>
      </w:pPr>
      <w:r>
        <w:rPr>
          <w:lang w:val="en-US"/>
        </w:rPr>
        <w:t>The</w:t>
      </w:r>
      <w:r w:rsidR="0068675A">
        <w:rPr>
          <w:lang w:val="en-US"/>
        </w:rPr>
        <w:t xml:space="preserve"> dataset contains estimates of fuel prices, driving distances, number of vehicles, purchase price of vehicles (and charging infrastructure), current composition of vehicle fleet, replacement rates of vehicles, emissions per vehicle type, cycling infrastructure data etc. The model assumes that that the current vehicle fleet will gradually become green</w:t>
      </w:r>
      <w:r w:rsidR="003604EE">
        <w:rPr>
          <w:lang w:val="en-US"/>
        </w:rPr>
        <w:t>er</w:t>
      </w:r>
      <w:r w:rsidR="0068675A">
        <w:rPr>
          <w:lang w:val="en-US"/>
        </w:rPr>
        <w:t>, i.e.</w:t>
      </w:r>
      <w:r w:rsidR="00B0121E">
        <w:rPr>
          <w:lang w:val="en-US"/>
        </w:rPr>
        <w:t>,</w:t>
      </w:r>
      <w:r w:rsidR="0068675A">
        <w:rPr>
          <w:lang w:val="en-US"/>
        </w:rPr>
        <w:t xml:space="preserve"> current fossil </w:t>
      </w:r>
      <w:r w:rsidR="00B0121E">
        <w:rPr>
          <w:lang w:val="en-US"/>
        </w:rPr>
        <w:t>fueled</w:t>
      </w:r>
      <w:r w:rsidR="0068675A">
        <w:rPr>
          <w:lang w:val="en-US"/>
        </w:rPr>
        <w:t xml:space="preserve"> vehicles will be replaced by vehicles with less emissions, in particular electric and biogas vehicles. </w:t>
      </w:r>
    </w:p>
    <w:p w14:paraId="215A5B8C" w14:textId="77777777" w:rsidR="0068675A" w:rsidRDefault="0068675A" w:rsidP="00E20E52">
      <w:pPr>
        <w:spacing w:after="0" w:line="360" w:lineRule="auto"/>
        <w:contextualSpacing/>
        <w:jc w:val="both"/>
        <w:rPr>
          <w:lang w:val="en-US"/>
        </w:rPr>
      </w:pPr>
    </w:p>
    <w:p w14:paraId="11FE6B0C" w14:textId="35188771" w:rsidR="0068675A" w:rsidRDefault="0068675A" w:rsidP="00E20E52">
      <w:pPr>
        <w:spacing w:after="0" w:line="360" w:lineRule="auto"/>
        <w:contextualSpacing/>
        <w:jc w:val="both"/>
        <w:rPr>
          <w:lang w:val="en-US"/>
        </w:rPr>
      </w:pPr>
      <w:r>
        <w:rPr>
          <w:lang w:val="en-US"/>
        </w:rPr>
        <w:t>One key assumption is that the electric vehicles purchase</w:t>
      </w:r>
      <w:r w:rsidR="000F33EA">
        <w:rPr>
          <w:lang w:val="en-US"/>
        </w:rPr>
        <w:t>d</w:t>
      </w:r>
      <w:r>
        <w:rPr>
          <w:lang w:val="en-US"/>
        </w:rPr>
        <w:t xml:space="preserve"> </w:t>
      </w:r>
      <w:r w:rsidR="00C30A56">
        <w:rPr>
          <w:lang w:val="en-US"/>
        </w:rPr>
        <w:t>are</w:t>
      </w:r>
      <w:r>
        <w:rPr>
          <w:lang w:val="en-US"/>
        </w:rPr>
        <w:t xml:space="preserve"> replacing fossil fueled </w:t>
      </w:r>
      <w:proofErr w:type="gramStart"/>
      <w:r>
        <w:rPr>
          <w:lang w:val="en-US"/>
        </w:rPr>
        <w:t>vehicle</w:t>
      </w:r>
      <w:proofErr w:type="gramEnd"/>
      <w:r>
        <w:rPr>
          <w:lang w:val="en-US"/>
        </w:rPr>
        <w:t xml:space="preserve"> purchased. If a person is retiring </w:t>
      </w:r>
      <w:r w:rsidR="00C30A56">
        <w:rPr>
          <w:lang w:val="en-US"/>
        </w:rPr>
        <w:t>his/her/its</w:t>
      </w:r>
      <w:r>
        <w:rPr>
          <w:lang w:val="en-US"/>
        </w:rPr>
        <w:t xml:space="preserve"> petrol car or a city is retiring its diesel bus to buy an electric car or biogas bus, the user can overwrite this assumption. Most obvious costs are included, e.g.</w:t>
      </w:r>
      <w:r w:rsidR="00BB4E11">
        <w:rPr>
          <w:lang w:val="en-US"/>
        </w:rPr>
        <w:t>,</w:t>
      </w:r>
      <w:r>
        <w:rPr>
          <w:lang w:val="en-US"/>
        </w:rPr>
        <w:t xml:space="preserve"> for cars the purchase price</w:t>
      </w:r>
      <w:r w:rsidR="003604EE">
        <w:rPr>
          <w:lang w:val="en-US"/>
        </w:rPr>
        <w:t xml:space="preserve"> of the car and charger as well as the fuel cost is included. However, </w:t>
      </w:r>
      <w:r w:rsidR="000F33EA">
        <w:rPr>
          <w:lang w:val="en-US"/>
        </w:rPr>
        <w:t>the model could still be refined with more details</w:t>
      </w:r>
      <w:r w:rsidR="003604EE">
        <w:rPr>
          <w:lang w:val="en-US"/>
        </w:rPr>
        <w:t>, e.g.</w:t>
      </w:r>
      <w:r w:rsidR="00BB4E11">
        <w:rPr>
          <w:lang w:val="en-US"/>
        </w:rPr>
        <w:t>,</w:t>
      </w:r>
      <w:r w:rsidR="003604EE">
        <w:rPr>
          <w:lang w:val="en-US"/>
        </w:rPr>
        <w:t xml:space="preserve"> including the reduced repair costs of electric vehicles compared to petrol ones. Another example is that currently no costs are included from reduced use of aviation. Users are encouraged to reach out if they find that some costs (or savings/incomes) seem to be missing (and even more appreciated if they have a data source for it!).</w:t>
      </w:r>
    </w:p>
    <w:p w14:paraId="635ABAE3" w14:textId="77777777" w:rsidR="003604EE" w:rsidRDefault="003604EE" w:rsidP="00E20E52">
      <w:pPr>
        <w:spacing w:after="0" w:line="360" w:lineRule="auto"/>
        <w:contextualSpacing/>
        <w:jc w:val="both"/>
        <w:rPr>
          <w:lang w:val="en-US"/>
        </w:rPr>
      </w:pPr>
    </w:p>
    <w:p w14:paraId="37E2A0FE" w14:textId="2C64C879" w:rsidR="003604EE" w:rsidRDefault="003604EE" w:rsidP="00E20E52">
      <w:pPr>
        <w:spacing w:after="0" w:line="360" w:lineRule="auto"/>
        <w:contextualSpacing/>
        <w:jc w:val="both"/>
        <w:rPr>
          <w:lang w:val="en-US"/>
        </w:rPr>
      </w:pPr>
      <w:r>
        <w:rPr>
          <w:lang w:val="en-US"/>
        </w:rPr>
        <w:t xml:space="preserve">When overwriting </w:t>
      </w:r>
      <w:r w:rsidR="00BB4E11">
        <w:rPr>
          <w:lang w:val="en-US"/>
        </w:rPr>
        <w:t>assumptions,</w:t>
      </w:r>
      <w:r>
        <w:rPr>
          <w:lang w:val="en-US"/>
        </w:rPr>
        <w:t xml:space="preserve"> it is important to pay close attention to how they are worded. Some </w:t>
      </w:r>
      <w:proofErr w:type="gramStart"/>
      <w:r>
        <w:rPr>
          <w:lang w:val="en-US"/>
        </w:rPr>
        <w:t>datapoints</w:t>
      </w:r>
      <w:proofErr w:type="gramEnd"/>
      <w:r>
        <w:rPr>
          <w:lang w:val="en-US"/>
        </w:rPr>
        <w:t xml:space="preserve"> are not the most straightforward at first glance, but rather a result of tying together different sources of incomplete data. One example is the “</w:t>
      </w:r>
      <w:r w:rsidRPr="003604EE">
        <w:rPr>
          <w:lang w:val="en-US"/>
        </w:rPr>
        <w:t>Heavy truck use of fuel compared to car</w:t>
      </w:r>
      <w:r>
        <w:rPr>
          <w:lang w:val="en-US"/>
        </w:rPr>
        <w:t>” which is 4</w:t>
      </w:r>
      <w:r w:rsidR="00A52D37">
        <w:rPr>
          <w:lang w:val="en-US"/>
        </w:rPr>
        <w:t>.</w:t>
      </w:r>
      <w:r>
        <w:rPr>
          <w:lang w:val="en-US"/>
        </w:rPr>
        <w:t xml:space="preserve">8, meaning that a heavy truck is assumed to consume on average 5 times the amount of fuel per kilometer travelled than a car (based on European data). The user is encouraged to reach out </w:t>
      </w:r>
      <w:r w:rsidR="004B7F35">
        <w:rPr>
          <w:lang w:val="en-US"/>
        </w:rPr>
        <w:t xml:space="preserve">to us </w:t>
      </w:r>
      <w:r>
        <w:rPr>
          <w:lang w:val="en-US"/>
        </w:rPr>
        <w:t>if any of the assumptions are unclear so that we can update and clarify also for the next user to avoid misunderstandings.</w:t>
      </w:r>
    </w:p>
    <w:p w14:paraId="2185AB26" w14:textId="77777777" w:rsidR="00A52D37" w:rsidRDefault="00A52D37" w:rsidP="00E20E52">
      <w:pPr>
        <w:spacing w:after="0" w:line="360" w:lineRule="auto"/>
        <w:contextualSpacing/>
        <w:jc w:val="both"/>
        <w:rPr>
          <w:lang w:val="en-US"/>
        </w:rPr>
      </w:pPr>
    </w:p>
    <w:p w14:paraId="049ECFC1" w14:textId="1F86F8AC" w:rsidR="003D1E1F" w:rsidRPr="005403F4" w:rsidRDefault="00A52D37" w:rsidP="00E20E52">
      <w:pPr>
        <w:spacing w:after="0" w:line="360" w:lineRule="auto"/>
        <w:contextualSpacing/>
        <w:jc w:val="both"/>
        <w:rPr>
          <w:lang w:val="en-US"/>
        </w:rPr>
      </w:pPr>
      <w:r>
        <w:rPr>
          <w:lang w:val="en-US"/>
        </w:rPr>
        <w:t>Some factors also vary heavily over time, for example the energy prices. Current prices are used as estimates for the average prices up until 2030. These could also be continuously updated by us or by the user to have the most up to date assumptions.</w:t>
      </w:r>
    </w:p>
    <w:p w14:paraId="42DA9D96" w14:textId="77777777" w:rsidR="00DC1FA0" w:rsidRPr="00AF0AFB" w:rsidRDefault="00DC1FA0" w:rsidP="00DC1FA0">
      <w:pPr>
        <w:pStyle w:val="Heading4"/>
        <w:spacing w:before="0" w:line="360" w:lineRule="auto"/>
        <w:contextualSpacing/>
        <w:rPr>
          <w:lang w:val="en-US"/>
        </w:rPr>
      </w:pPr>
      <w:r w:rsidRPr="00AF0AFB">
        <w:rPr>
          <w:lang w:val="en-US"/>
        </w:rPr>
        <w:t>Public transport services</w:t>
      </w:r>
    </w:p>
    <w:p w14:paraId="57DC58FC" w14:textId="77777777" w:rsidR="00DC1FA0" w:rsidRPr="005403F4" w:rsidRDefault="00DC1FA0" w:rsidP="00DC1FA0">
      <w:pPr>
        <w:spacing w:after="0" w:line="360" w:lineRule="auto"/>
        <w:contextualSpacing/>
        <w:jc w:val="both"/>
        <w:rPr>
          <w:lang w:val="en-US"/>
        </w:rPr>
      </w:pPr>
      <w:r w:rsidRPr="005403F4">
        <w:rPr>
          <w:lang w:val="en-US"/>
        </w:rPr>
        <w:t xml:space="preserve">The CAPEX and OPEX investments for the electrification of public buses consider the installation and maintenance of the charging infrastructure. Replacement of the batteries is included too. We do not assess the impact of the spike in electricity demand due to the electrification of a share of the public buses fleet. Likewise, we do not analyze the possibility to sustainably supply the Hydrogenated Vegetable Oil (VHO). </w:t>
      </w:r>
    </w:p>
    <w:p w14:paraId="3B4E9F0D" w14:textId="77777777" w:rsidR="00DC1FA0" w:rsidRDefault="00DC1FA0" w:rsidP="00DC1FA0">
      <w:pPr>
        <w:spacing w:after="0" w:line="360" w:lineRule="auto"/>
        <w:contextualSpacing/>
        <w:jc w:val="both"/>
        <w:rPr>
          <w:lang w:val="en-US"/>
        </w:rPr>
      </w:pPr>
    </w:p>
    <w:p w14:paraId="523897F4" w14:textId="77777777" w:rsidR="00DC1FA0" w:rsidRDefault="00DC1FA0" w:rsidP="00DC1FA0">
      <w:pPr>
        <w:spacing w:after="0" w:line="360" w:lineRule="auto"/>
        <w:contextualSpacing/>
        <w:jc w:val="both"/>
        <w:rPr>
          <w:lang w:val="en-US"/>
        </w:rPr>
      </w:pPr>
      <w:r w:rsidRPr="005403F4">
        <w:rPr>
          <w:lang w:val="en-US"/>
        </w:rPr>
        <w:t xml:space="preserve">The size of the public fleet by 2030 is forecasted using a fixed public buses/population ratio based on the population forecasts for 2030 provided by SCB. Svensk </w:t>
      </w:r>
      <w:proofErr w:type="spellStart"/>
      <w:r w:rsidRPr="005403F4">
        <w:rPr>
          <w:lang w:val="en-US"/>
        </w:rPr>
        <w:t>Kollektivtrafik</w:t>
      </w:r>
      <w:proofErr w:type="spellEnd"/>
      <w:r w:rsidRPr="005403F4">
        <w:rPr>
          <w:lang w:val="en-US"/>
        </w:rPr>
        <w:t xml:space="preserve"> provides the data on the fuel composition of the fleet. We assume that these ratios will be constant by 2030.</w:t>
      </w:r>
      <w:r w:rsidRPr="00AF0AFB">
        <w:rPr>
          <w:lang w:val="en-US"/>
        </w:rPr>
        <w:t xml:space="preserve"> </w:t>
      </w:r>
    </w:p>
    <w:p w14:paraId="602A4A80" w14:textId="77777777" w:rsidR="00DC1FA0" w:rsidRDefault="00DC1FA0" w:rsidP="00DC1FA0">
      <w:pPr>
        <w:spacing w:after="0" w:line="360" w:lineRule="auto"/>
        <w:contextualSpacing/>
        <w:jc w:val="both"/>
        <w:rPr>
          <w:lang w:val="en-US"/>
        </w:rPr>
      </w:pPr>
    </w:p>
    <w:p w14:paraId="6229917F" w14:textId="32EA8589" w:rsidR="00AF0AFB" w:rsidRPr="005403F4" w:rsidRDefault="005403F4" w:rsidP="00DC1FA0">
      <w:pPr>
        <w:pStyle w:val="Heading4"/>
        <w:rPr>
          <w:lang w:val="en-US"/>
        </w:rPr>
      </w:pPr>
      <w:r w:rsidRPr="005403F4">
        <w:rPr>
          <w:lang w:val="en-US"/>
        </w:rPr>
        <w:t>Energy</w:t>
      </w:r>
    </w:p>
    <w:p w14:paraId="003CCE32" w14:textId="09339ACD" w:rsidR="00917D8F" w:rsidRPr="008550F3" w:rsidRDefault="004B7F35" w:rsidP="00E20E52">
      <w:pPr>
        <w:spacing w:after="0" w:line="360" w:lineRule="auto"/>
        <w:contextualSpacing/>
        <w:jc w:val="both"/>
        <w:rPr>
          <w:lang w:val="en-US"/>
        </w:rPr>
      </w:pPr>
      <w:r>
        <w:rPr>
          <w:lang w:val="en-US"/>
        </w:rPr>
        <w:t>E</w:t>
      </w:r>
      <w:r w:rsidR="00917D8F" w:rsidRPr="008550F3">
        <w:rPr>
          <w:lang w:val="en-US"/>
        </w:rPr>
        <w:t>stimat</w:t>
      </w:r>
      <w:r>
        <w:rPr>
          <w:lang w:val="en-US"/>
        </w:rPr>
        <w:t>ing</w:t>
      </w:r>
      <w:r w:rsidR="00917D8F" w:rsidRPr="008550F3">
        <w:rPr>
          <w:lang w:val="en-US"/>
        </w:rPr>
        <w:t xml:space="preserve"> the effect of additional electricity production from e.g.</w:t>
      </w:r>
      <w:r>
        <w:rPr>
          <w:lang w:val="en-US"/>
        </w:rPr>
        <w:t>,</w:t>
      </w:r>
      <w:r w:rsidR="00917D8F" w:rsidRPr="008550F3">
        <w:rPr>
          <w:lang w:val="en-US"/>
        </w:rPr>
        <w:t xml:space="preserve"> solar or wind energy on emissions in a municipality</w:t>
      </w:r>
      <w:r>
        <w:rPr>
          <w:lang w:val="en-US"/>
        </w:rPr>
        <w:t xml:space="preserve"> is challenging</w:t>
      </w:r>
      <w:r w:rsidR="00917D8F" w:rsidRPr="008550F3">
        <w:rPr>
          <w:lang w:val="en-US"/>
        </w:rPr>
        <w:t xml:space="preserve">. Some cities have joint electricity and district heating facilities that emit greenhouse gases. We have </w:t>
      </w:r>
      <w:r w:rsidRPr="008550F3">
        <w:rPr>
          <w:lang w:val="en-US"/>
        </w:rPr>
        <w:t>assumed</w:t>
      </w:r>
      <w:r w:rsidR="00917D8F" w:rsidRPr="008550F3">
        <w:rPr>
          <w:lang w:val="en-US"/>
        </w:rPr>
        <w:t xml:space="preserve"> </w:t>
      </w:r>
      <w:r w:rsidR="009A4B1B">
        <w:rPr>
          <w:lang w:val="en-US"/>
        </w:rPr>
        <w:t xml:space="preserve">the level </w:t>
      </w:r>
      <w:r w:rsidR="00917D8F" w:rsidRPr="008550F3">
        <w:rPr>
          <w:lang w:val="en-US"/>
        </w:rPr>
        <w:t xml:space="preserve">of those greenhouse gases tied to electricity production and </w:t>
      </w:r>
      <w:r w:rsidR="009A4B1B">
        <w:rPr>
          <w:lang w:val="en-US"/>
        </w:rPr>
        <w:t>t</w:t>
      </w:r>
      <w:r w:rsidR="00917D8F" w:rsidRPr="008550F3">
        <w:rPr>
          <w:lang w:val="en-US"/>
        </w:rPr>
        <w:t xml:space="preserve">hat </w:t>
      </w:r>
      <w:proofErr w:type="gramStart"/>
      <w:r w:rsidR="00917D8F" w:rsidRPr="008550F3">
        <w:rPr>
          <w:lang w:val="en-US"/>
        </w:rPr>
        <w:t>the renewable</w:t>
      </w:r>
      <w:proofErr w:type="gramEnd"/>
      <w:r w:rsidR="00917D8F" w:rsidRPr="008550F3">
        <w:rPr>
          <w:lang w:val="en-US"/>
        </w:rPr>
        <w:t xml:space="preserve"> energy will replace some of that. We have thus disregarded any indirect benefits of renewable energy, such as enabling the green transition through primarily hydrogen production, industrial </w:t>
      </w:r>
      <w:proofErr w:type="gramStart"/>
      <w:r w:rsidR="00917D8F" w:rsidRPr="008550F3">
        <w:rPr>
          <w:lang w:val="en-US"/>
        </w:rPr>
        <w:t>electrification</w:t>
      </w:r>
      <w:proofErr w:type="gramEnd"/>
      <w:r w:rsidR="00917D8F" w:rsidRPr="008550F3">
        <w:rPr>
          <w:lang w:val="en-US"/>
        </w:rPr>
        <w:t xml:space="preserve"> and electrification of the vehicle fleet. When estimating the cost of </w:t>
      </w:r>
      <w:r w:rsidR="008550F3" w:rsidRPr="008550F3">
        <w:rPr>
          <w:lang w:val="en-US"/>
        </w:rPr>
        <w:t>renewable energy per reduced greenhouse gas we have made assumptions about the average emission factor for electricity production in Sweden.</w:t>
      </w:r>
      <w:r w:rsidR="008550F3">
        <w:rPr>
          <w:rStyle w:val="FootnoteReference"/>
          <w:lang w:val="en-US"/>
        </w:rPr>
        <w:footnoteReference w:id="7"/>
      </w:r>
      <w:r w:rsidR="008550F3" w:rsidRPr="008550F3">
        <w:rPr>
          <w:lang w:val="en-US"/>
        </w:rPr>
        <w:t xml:space="preserve"> </w:t>
      </w:r>
      <w:r w:rsidR="002D6FBB">
        <w:rPr>
          <w:lang w:val="en-US"/>
        </w:rPr>
        <w:t>Revenues from these facilities are expected in line with electricity prices, which have been localized (and are possible to adjust if the user has more accurate predictions for the electricity in the future).</w:t>
      </w:r>
    </w:p>
    <w:p w14:paraId="3AA401F4" w14:textId="77777777" w:rsidR="008550F3" w:rsidRDefault="008550F3" w:rsidP="00E20E52">
      <w:pPr>
        <w:spacing w:after="0" w:line="360" w:lineRule="auto"/>
        <w:contextualSpacing/>
        <w:jc w:val="both"/>
        <w:rPr>
          <w:lang w:val="en-US"/>
        </w:rPr>
      </w:pPr>
    </w:p>
    <w:p w14:paraId="34339478" w14:textId="49910D59" w:rsidR="00AF0AFB" w:rsidRDefault="00AF0AFB" w:rsidP="00E20E52">
      <w:pPr>
        <w:spacing w:after="0" w:line="360" w:lineRule="auto"/>
        <w:contextualSpacing/>
        <w:jc w:val="both"/>
        <w:rPr>
          <w:lang w:val="en-US"/>
        </w:rPr>
      </w:pPr>
      <w:r w:rsidRPr="008550F3">
        <w:rPr>
          <w:lang w:val="en-US"/>
        </w:rPr>
        <w:t xml:space="preserve">The costs of Best Available Technology (BAT) household appliances are estimated using data from large retailers in Sweden. The reduction in emissions of these assets is estimated based on the work of </w:t>
      </w:r>
      <w:r w:rsidRPr="008550F3">
        <w:rPr>
          <w:lang w:val="en-US"/>
        </w:rPr>
        <w:fldChar w:fldCharType="begin"/>
      </w:r>
      <w:r w:rsidR="003821FD">
        <w:rPr>
          <w:lang w:val="en-US"/>
        </w:rPr>
        <w:instrText xml:space="preserve"> ADDIN ZOTERO_ITEM CSL_CITATION {"citationID":"KwQAT2kY","properties":{"formattedCitation":"(Dodoo, Gustavsson, and Le Truong 2018; Dodoo, Gustavsson, and Tettey 2017; Dodoo, Tettey, and Gustavsson 2017)","plainCitation":"(Dodoo, Gustavsson, and Le Truong 2018; Dodoo, Gustavsson, and Tettey 2017; Dodoo, Tettey, and Gustavsson 2017)","dontUpdate":true,"noteIndex":0},"citationItems":[{"id":4772,"uris":["http://zotero.org/groups/2281212/items/KXMFG4QV"],"itemData":{"id":4772,"type":"article-journal","abstract":"The European Union's Directive on energy performance of buildings emphasizes the need to take cost-effectiveness into account when measures are implemented for improved building energy efficiency. In this study, we investigate cost-effective energy renovation measures for a district heated building under different contexts, including varied locations, energy supply systems and economic scenarios. We determine the final and primary energy savings of cost-effective energy renovation packages for the building in the different contexts. The measures analysed include: improved insulation for attic floor, basement walls, and exterior walls; improved windows and doors; resource-efficient taps; heat recovery of exhaust ventilation air; energy-efficient household appliances and lighting. We consider three existing Swedish energy supply systems of varying district heat production scale and tariffs, and also plausible renewable-based energy supply systems. Our analysis calculates the final energy savings of the measures including the cost-effective renovation packages on hourly basis and links these to the different energy supply systems. The cost-effectiveness analysis is based on a double-stage optimization method, considering total and marginal investment costs of renovation measures as well as associated net present values of total and marginal cost savings. The results show that significant final and primary energy savings can be achieved when energy renovation measures are implemented for the building in the different contexts. This study shows that heat demand in existing Swedish building could be about halved while electricity use may be reduced considerably with cost-effective energy renovation measures. The economic viability of the renovation measures is sensitive to the economic regimes especially discount rates and energy price increase.","container-title":"Energy","DOI":"10.1016/j.energy.2017.10.113","ISSN":"0360-5442","journalAbbreviation":"Energy","language":"en","page":"69-90","source":"ScienceDirect","title":"Primary energy benefits of cost-effective energy renovation of a district heated multi-family building under different energy supply systems","URL":"https://www.sciencedirect.com/science/article/pii/S0360544217318182","volume":"143","author":[{"family":"Dodoo","given":"Ambrose"},{"family":"Gustavsson","given":"Leif"},{"family":"Le Truong","given":"Nguyen"}],"accessed":{"date-parts":[["2021",5,26]]},"issued":{"date-parts":[["2018",1,15]]}}},{"id":4724,"uris":["http://zotero.org/groups/2281212/items/BYLCY5RD"],"itemData":{"id":4724,"type":"article-journal","abstract":"In this study we present a method for analysis of cost-effectiveness of end-use energy efficiency measures and demonstrate its application for modelling a wide range of energy renovation measures for a typical 1970s multi-family building in Sweden. The method integrates energy balance and bottom-up economic calculations considering total and marginal investment costs of energy efficiency measures as well as net present value of total and marginal savings of the measures. The energy renovation measures explored include additional insulation to basement walls, exterior walls, and attic floor, improved new windows, efficient electric appliances and lighting, efficient water taps, glazed enclosed balcony systems, and exhaust air ventilation heat recovery systems. The measures are analysed first individually and then designed to form economic packages. Our results show that improved windows give the biggest single final energy savings while resource-efficient taps is the most cost-effective measure for the building. We find that the cost-effectiveness of the energy renovation measures is sensitive to real discount rates and energy price increases. Cost-optimal final heat savings varies between 34% and 51%, depending on the choice of real discount rate and energy price increase. The corresponding electricity savings varies between 35% and 43%. This study shows a method and the significance of various technical and economic-related parameters in achieving deep energy savings cost-efficiently.","container-title":"Energy","DOI":"10.1016/j.energy.2017.06.123","ISSN":"0360-5442","journalAbbreviation":"Energy","language":"en","page":"563-576","source":"ScienceDirect","title":"Final energy savings and cost-effectiveness of deep energy renovation of a multi-storey residential building","URL":"https://www.sciencedirect.com/science/article/pii/S0360544217311209","volume":"135","author":[{"family":"Dodoo","given":"Ambrose"},{"family":"Gustavsson","given":"Leif"},{"family":"Tettey","given":"Uniben Y. A."}],"accessed":{"date-parts":[["2021",10,15]]},"issued":{"date-parts":[["2017",9,15]]}}},{"id":4720,"uris":["http://zotero.org/groups/2281212/items/P2RPH3G8"],"itemData":{"id":4720,"type":"article-journal","abstract":"In this study, we modelled the influence of different simulation assumptions on energy balances of two variants of a residential building, comprising the building in its existing state and with energy-efficient improvements. We explored how selected parameter combinations and variations affect the energy balances of the building configurations. The selected parameters encompass outdoor microclimate, building thermal envelope and household electrical equipment including technical installations. Our modelling takes into account hourly as well as seasonal profiles of different internal heat gains. The results suggest that the impact of parameter interactions on calculated space heating of buildings is somewhat small and relatively more noticeable for an energy-efficient building in contrast to a conventional building. We find that the influence of parameters combinations is more apparent as more individual parameters are varied. The simulations show that a building's calculated space heating demand is significantly influenced by how heat gains from electrical equipment are modelled. For the analyzed building versions, calculated final energy for space heating differs by 9–14 kWh/m2 depending on the assumed energy efficiency level for electrical equipment. The influence of electrical equipment on calculated final space heating is proportionally more significant for an energy-efficient building compared to a conventional building. This study shows the influence of different simulation assumptions and parameter combinations when varied simultaneously.","container-title":"Energy","DOI":"10.1016/j.energy.2016.11.124","ISSN":"0360-5442","journalAbbreviation":"Energy","language":"en","page":"718-730","source":"ScienceDirect","title":"Influence of simulation assumptions and input parameters on energy balance calculations of residential buildings","URL":"https://www.sciencedirect.com/science/article/pii/S0360544216317819","volume":"120","author":[{"family":"Dodoo","given":"Ambrose"},{"family":"Tettey","given":"Uniben Yao Ayikoe"},{"family":"Gustavsson","given":"Leif"}],"accessed":{"date-parts":[["2021",10,15]]},"issued":{"date-parts":[["2017",2,1]]}}}],"schema":"https://github.com/citation-style-language/schema/raw/master/csl-citation.json"} </w:instrText>
      </w:r>
      <w:r w:rsidRPr="008550F3">
        <w:rPr>
          <w:lang w:val="en-US"/>
        </w:rPr>
        <w:fldChar w:fldCharType="separate"/>
      </w:r>
      <w:r w:rsidRPr="008550F3">
        <w:rPr>
          <w:rFonts w:ascii="Calibri" w:hAnsi="Calibri" w:cs="Calibri"/>
          <w:lang w:val="en-US"/>
        </w:rPr>
        <w:t>(Dodoo et al. 2018; Dodoo et al. 2017; Dodoo et al. 2017)</w:t>
      </w:r>
      <w:r w:rsidRPr="008550F3">
        <w:rPr>
          <w:lang w:val="en-US"/>
        </w:rPr>
        <w:fldChar w:fldCharType="end"/>
      </w:r>
      <w:r w:rsidRPr="008550F3">
        <w:rPr>
          <w:lang w:val="en-US"/>
        </w:rPr>
        <w:t xml:space="preserve">. </w:t>
      </w:r>
      <w:r w:rsidR="008550F3">
        <w:rPr>
          <w:lang w:val="en-US"/>
        </w:rPr>
        <w:t>These energy efficiency measures are expected to reduce the energy needs of the municipality and therefore reduce the emissions within the municipal borders, i.e.</w:t>
      </w:r>
      <w:r w:rsidR="00C319EA">
        <w:rPr>
          <w:lang w:val="en-US"/>
        </w:rPr>
        <w:t>,</w:t>
      </w:r>
      <w:r w:rsidR="008550F3">
        <w:rPr>
          <w:lang w:val="en-US"/>
        </w:rPr>
        <w:t xml:space="preserve"> external benefits are not considered. Heat pumps are similarly expected to reduce the need for district heating in the city and its associated emissions.</w:t>
      </w:r>
    </w:p>
    <w:p w14:paraId="20368051" w14:textId="77777777" w:rsidR="008550F3" w:rsidRDefault="008550F3" w:rsidP="00E20E52">
      <w:pPr>
        <w:spacing w:after="0" w:line="360" w:lineRule="auto"/>
        <w:contextualSpacing/>
        <w:jc w:val="both"/>
        <w:rPr>
          <w:lang w:val="en-US"/>
        </w:rPr>
      </w:pPr>
    </w:p>
    <w:p w14:paraId="2F42D40B" w14:textId="26FBE732" w:rsidR="008550F3" w:rsidRDefault="008550F3" w:rsidP="00E20E52">
      <w:pPr>
        <w:spacing w:after="0" w:line="360" w:lineRule="auto"/>
        <w:contextualSpacing/>
        <w:jc w:val="both"/>
        <w:rPr>
          <w:lang w:val="en-US"/>
        </w:rPr>
      </w:pPr>
      <w:r>
        <w:rPr>
          <w:lang w:val="en-US"/>
        </w:rPr>
        <w:t xml:space="preserve">Carbon capture and storage solutions are also considered both for industry and for waste incineration in district heating facilities. </w:t>
      </w:r>
      <w:r w:rsidR="002D6FBB">
        <w:rPr>
          <w:lang w:val="en-US"/>
        </w:rPr>
        <w:t xml:space="preserve">90% of emissions are assumed to be captured by CCS and costs are derived from international studies. There is uncertainty </w:t>
      </w:r>
      <w:proofErr w:type="gramStart"/>
      <w:r w:rsidR="002D6FBB">
        <w:rPr>
          <w:lang w:val="en-US"/>
        </w:rPr>
        <w:t>to</w:t>
      </w:r>
      <w:proofErr w:type="gramEnd"/>
      <w:r w:rsidR="002D6FBB">
        <w:rPr>
          <w:lang w:val="en-US"/>
        </w:rPr>
        <w:t xml:space="preserve"> these as current </w:t>
      </w:r>
      <w:proofErr w:type="gramStart"/>
      <w:r w:rsidR="002D6FBB">
        <w:rPr>
          <w:lang w:val="en-US"/>
        </w:rPr>
        <w:t>large scale</w:t>
      </w:r>
      <w:proofErr w:type="gramEnd"/>
      <w:r w:rsidR="002D6FBB">
        <w:rPr>
          <w:lang w:val="en-US"/>
        </w:rPr>
        <w:t xml:space="preserve"> production is rare, however, as these installations are usually part of the EU ETS, the savings from not having to buy emissions allowances are considered (for both industrial and waste CCS-solutions).</w:t>
      </w:r>
    </w:p>
    <w:p w14:paraId="32D9CB79" w14:textId="77777777" w:rsidR="002D6FBB" w:rsidRDefault="002D6FBB" w:rsidP="00E20E52">
      <w:pPr>
        <w:spacing w:after="0" w:line="360" w:lineRule="auto"/>
        <w:contextualSpacing/>
        <w:jc w:val="both"/>
        <w:rPr>
          <w:lang w:val="en-US"/>
        </w:rPr>
      </w:pPr>
    </w:p>
    <w:p w14:paraId="37FBDEE8" w14:textId="7C81AB1A" w:rsidR="002D6FBB" w:rsidRPr="005403F4" w:rsidRDefault="002D6FBB" w:rsidP="00DC1FA0">
      <w:pPr>
        <w:pStyle w:val="Heading4"/>
        <w:rPr>
          <w:lang w:val="en-US"/>
        </w:rPr>
      </w:pPr>
      <w:r w:rsidRPr="005403F4">
        <w:rPr>
          <w:lang w:val="en-US"/>
        </w:rPr>
        <w:t>Industry</w:t>
      </w:r>
    </w:p>
    <w:p w14:paraId="775FA3CA" w14:textId="32FA77BC" w:rsidR="00AF0AFB" w:rsidRDefault="002D6FBB" w:rsidP="00E20E52">
      <w:pPr>
        <w:spacing w:after="0" w:line="360" w:lineRule="auto"/>
        <w:contextualSpacing/>
        <w:jc w:val="both"/>
        <w:rPr>
          <w:lang w:val="en-US"/>
        </w:rPr>
      </w:pPr>
      <w:r>
        <w:rPr>
          <w:lang w:val="en-US"/>
        </w:rPr>
        <w:t xml:space="preserve">The two levers to address territorial-based emissions in industrial facilities are hydrogen and CCS measures. Electrification of processes is also included under the hydrogen lever. Both these estimates are limited as there </w:t>
      </w:r>
      <w:r w:rsidR="0087414A">
        <w:rPr>
          <w:lang w:val="en-US"/>
        </w:rPr>
        <w:t xml:space="preserve">is a </w:t>
      </w:r>
      <w:r>
        <w:rPr>
          <w:lang w:val="en-US"/>
        </w:rPr>
        <w:t xml:space="preserve">limited </w:t>
      </w:r>
      <w:r w:rsidR="0087414A">
        <w:rPr>
          <w:lang w:val="en-US"/>
        </w:rPr>
        <w:t xml:space="preserve">number </w:t>
      </w:r>
      <w:r>
        <w:rPr>
          <w:lang w:val="en-US"/>
        </w:rPr>
        <w:t xml:space="preserve">of large-scale projects up and running already today. </w:t>
      </w:r>
      <w:r w:rsidR="005403F4">
        <w:rPr>
          <w:lang w:val="en-US"/>
        </w:rPr>
        <w:t xml:space="preserve">As for CCS waste, saving emission allowances </w:t>
      </w:r>
      <w:r w:rsidR="0087414A">
        <w:rPr>
          <w:lang w:val="en-US"/>
        </w:rPr>
        <w:t>are</w:t>
      </w:r>
      <w:r w:rsidR="005403F4">
        <w:rPr>
          <w:lang w:val="en-US"/>
        </w:rPr>
        <w:t xml:space="preserve"> also included for these levers.</w:t>
      </w:r>
    </w:p>
    <w:p w14:paraId="625E4ADB" w14:textId="4A32E1FB" w:rsidR="005403F4" w:rsidRPr="005403F4" w:rsidRDefault="005403F4" w:rsidP="00DC1FA0">
      <w:pPr>
        <w:pStyle w:val="Heading4"/>
        <w:rPr>
          <w:lang w:val="en-US"/>
        </w:rPr>
      </w:pPr>
      <w:r w:rsidRPr="005403F4">
        <w:rPr>
          <w:lang w:val="en-US"/>
        </w:rPr>
        <w:t>Other categories</w:t>
      </w:r>
    </w:p>
    <w:p w14:paraId="1DD57ACA" w14:textId="3B8D10ED" w:rsidR="005403F4" w:rsidRDefault="005403F4" w:rsidP="00E20E52">
      <w:pPr>
        <w:spacing w:after="0" w:line="360" w:lineRule="auto"/>
        <w:contextualSpacing/>
        <w:jc w:val="both"/>
        <w:rPr>
          <w:lang w:val="en-US"/>
        </w:rPr>
      </w:pPr>
      <w:r>
        <w:rPr>
          <w:lang w:val="en-US"/>
        </w:rPr>
        <w:t>Due to lacking data for territorial-based emissions there are currently no specific lever</w:t>
      </w:r>
      <w:r w:rsidR="005037BF">
        <w:rPr>
          <w:lang w:val="en-US"/>
        </w:rPr>
        <w:t>s</w:t>
      </w:r>
      <w:r>
        <w:rPr>
          <w:lang w:val="en-US"/>
        </w:rPr>
        <w:t xml:space="preserve"> for agriculture. Users are encouraged to support with data on this. An overall lever is however added where the user can specify how much emissions are reduced and at what cost per reduced unit. A baseline assumption has been made based on existing projects under the national government program “</w:t>
      </w:r>
      <w:proofErr w:type="spellStart"/>
      <w:r>
        <w:rPr>
          <w:lang w:val="en-US"/>
        </w:rPr>
        <w:t>Klimatklivet</w:t>
      </w:r>
      <w:proofErr w:type="spellEnd"/>
      <w:r>
        <w:rPr>
          <w:lang w:val="en-US"/>
        </w:rPr>
        <w:t>”.</w:t>
      </w:r>
    </w:p>
    <w:p w14:paraId="709F1EF3" w14:textId="77777777" w:rsidR="005403F4" w:rsidRDefault="005403F4" w:rsidP="00E20E52">
      <w:pPr>
        <w:spacing w:after="0" w:line="360" w:lineRule="auto"/>
        <w:contextualSpacing/>
        <w:jc w:val="both"/>
        <w:rPr>
          <w:lang w:val="en-US"/>
        </w:rPr>
      </w:pPr>
    </w:p>
    <w:p w14:paraId="16CCEB00" w14:textId="4EDA97E3" w:rsidR="005403F4" w:rsidRDefault="005403F4" w:rsidP="00E20E52">
      <w:pPr>
        <w:spacing w:after="0" w:line="360" w:lineRule="auto"/>
        <w:contextualSpacing/>
        <w:jc w:val="both"/>
        <w:rPr>
          <w:lang w:val="en-US"/>
        </w:rPr>
      </w:pPr>
      <w:r>
        <w:rPr>
          <w:lang w:val="en-US"/>
        </w:rPr>
        <w:t>A similar solution was made for work machinery. There are currently no levers available to reduce emissions from product use.</w:t>
      </w:r>
    </w:p>
    <w:p w14:paraId="2B087CC2" w14:textId="77777777" w:rsidR="005403F4" w:rsidRDefault="005403F4" w:rsidP="00E20E52">
      <w:pPr>
        <w:spacing w:after="0" w:line="360" w:lineRule="auto"/>
        <w:contextualSpacing/>
        <w:jc w:val="both"/>
        <w:rPr>
          <w:lang w:val="en-US"/>
        </w:rPr>
      </w:pPr>
    </w:p>
    <w:p w14:paraId="2FC5CB9E" w14:textId="65FCD0FB" w:rsidR="00AF0AFB" w:rsidRDefault="005403F4" w:rsidP="00E20E52">
      <w:pPr>
        <w:spacing w:after="0" w:line="360" w:lineRule="auto"/>
        <w:contextualSpacing/>
        <w:jc w:val="both"/>
        <w:rPr>
          <w:lang w:val="en-US"/>
        </w:rPr>
      </w:pPr>
      <w:r>
        <w:rPr>
          <w:lang w:val="en-US"/>
        </w:rPr>
        <w:t xml:space="preserve">Consumption and material use emissions include the </w:t>
      </w:r>
      <w:proofErr w:type="gramStart"/>
      <w:r>
        <w:rPr>
          <w:lang w:val="en-US"/>
        </w:rPr>
        <w:t>lever</w:t>
      </w:r>
      <w:proofErr w:type="gramEnd"/>
      <w:r>
        <w:rPr>
          <w:lang w:val="en-US"/>
        </w:rPr>
        <w:t xml:space="preserve"> of increased recycling where emissions from waste (primarily landfill) is affected. An assumption is made here on what share of emissions are </w:t>
      </w:r>
      <w:proofErr w:type="gramStart"/>
      <w:r>
        <w:rPr>
          <w:lang w:val="en-US"/>
        </w:rPr>
        <w:t>actually related</w:t>
      </w:r>
      <w:proofErr w:type="gramEnd"/>
      <w:r>
        <w:rPr>
          <w:lang w:val="en-US"/>
        </w:rPr>
        <w:t xml:space="preserve"> to recycling within the municipality, as landfill sites</w:t>
      </w:r>
      <w:r w:rsidR="005037BF">
        <w:rPr>
          <w:lang w:val="en-US"/>
        </w:rPr>
        <w:t>,</w:t>
      </w:r>
      <w:r>
        <w:rPr>
          <w:lang w:val="en-US"/>
        </w:rPr>
        <w:t xml:space="preserve"> </w:t>
      </w:r>
      <w:r w:rsidR="005037BF">
        <w:rPr>
          <w:lang w:val="en-US"/>
        </w:rPr>
        <w:t>for example,</w:t>
      </w:r>
      <w:r>
        <w:rPr>
          <w:lang w:val="en-US"/>
        </w:rPr>
        <w:t xml:space="preserve"> can take scrap from different municipalities.</w:t>
      </w:r>
    </w:p>
    <w:p w14:paraId="6B933800" w14:textId="77777777" w:rsidR="004D71BB" w:rsidRDefault="004D71BB" w:rsidP="00E20E52">
      <w:pPr>
        <w:spacing w:after="0" w:line="360" w:lineRule="auto"/>
        <w:contextualSpacing/>
        <w:jc w:val="both"/>
        <w:rPr>
          <w:lang w:val="en-US"/>
        </w:rPr>
      </w:pPr>
    </w:p>
    <w:p w14:paraId="49864E30" w14:textId="4F2C73EC" w:rsidR="004D71BB" w:rsidRDefault="004D71BB" w:rsidP="00E20E52">
      <w:pPr>
        <w:spacing w:after="0" w:line="360" w:lineRule="auto"/>
        <w:contextualSpacing/>
        <w:jc w:val="both"/>
        <w:rPr>
          <w:lang w:val="en-US"/>
        </w:rPr>
      </w:pPr>
      <w:r>
        <w:rPr>
          <w:lang w:val="en-US"/>
        </w:rPr>
        <w:t xml:space="preserve">Negative emission solutions are specified in relation to total emissions within the municipality border. </w:t>
      </w:r>
      <w:r w:rsidR="005037BF">
        <w:rPr>
          <w:lang w:val="en-US"/>
        </w:rPr>
        <w:t>For example, i</w:t>
      </w:r>
      <w:r>
        <w:rPr>
          <w:lang w:val="en-US"/>
        </w:rPr>
        <w:t>f a city emits 100</w:t>
      </w:r>
      <w:r w:rsidR="005037BF">
        <w:rPr>
          <w:lang w:val="en-US"/>
        </w:rPr>
        <w:t>,</w:t>
      </w:r>
      <w:r>
        <w:rPr>
          <w:lang w:val="en-US"/>
        </w:rPr>
        <w:t xml:space="preserve">000 tons of </w:t>
      </w:r>
      <w:r w:rsidRPr="004D71BB">
        <w:rPr>
          <w:lang w:val="en-GB"/>
        </w:rPr>
        <w:t>tCO</w:t>
      </w:r>
      <w:r w:rsidRPr="004D71BB">
        <w:rPr>
          <w:vertAlign w:val="subscript"/>
          <w:lang w:val="en-GB"/>
        </w:rPr>
        <w:t>2</w:t>
      </w:r>
      <w:r w:rsidRPr="004D71BB">
        <w:rPr>
          <w:lang w:val="en-GB"/>
        </w:rPr>
        <w:t>e</w:t>
      </w:r>
      <w:r>
        <w:rPr>
          <w:lang w:val="en-US"/>
        </w:rPr>
        <w:t xml:space="preserve"> per year, a 10% lever means that 10</w:t>
      </w:r>
      <w:r w:rsidR="005037BF">
        <w:rPr>
          <w:lang w:val="en-US"/>
        </w:rPr>
        <w:t>,</w:t>
      </w:r>
      <w:r>
        <w:rPr>
          <w:lang w:val="en-US"/>
        </w:rPr>
        <w:t xml:space="preserve">000 </w:t>
      </w:r>
      <w:r w:rsidRPr="004D71BB">
        <w:rPr>
          <w:lang w:val="en-GB"/>
        </w:rPr>
        <w:t>tCO</w:t>
      </w:r>
      <w:r w:rsidRPr="004D71BB">
        <w:rPr>
          <w:vertAlign w:val="subscript"/>
          <w:lang w:val="en-GB"/>
        </w:rPr>
        <w:t>2</w:t>
      </w:r>
      <w:r w:rsidRPr="004D71BB">
        <w:rPr>
          <w:lang w:val="en-GB"/>
        </w:rPr>
        <w:t>e</w:t>
      </w:r>
      <w:r>
        <w:rPr>
          <w:lang w:val="en-US"/>
        </w:rPr>
        <w:t xml:space="preserve"> are captured by rewetting, carbon credits or bio-CCS. As mentioned above, bio-CCS also allows for the inclusion</w:t>
      </w:r>
      <w:r w:rsidR="00D05FDB">
        <w:rPr>
          <w:lang w:val="en-US"/>
        </w:rPr>
        <w:t xml:space="preserve"> of</w:t>
      </w:r>
      <w:r>
        <w:rPr>
          <w:lang w:val="en-US"/>
        </w:rPr>
        <w:t xml:space="preserve"> DACCS. The costs are then tied to </w:t>
      </w:r>
      <w:r w:rsidR="00D05FDB">
        <w:rPr>
          <w:lang w:val="en-US"/>
        </w:rPr>
        <w:t xml:space="preserve">the </w:t>
      </w:r>
      <w:r>
        <w:rPr>
          <w:lang w:val="en-US"/>
        </w:rPr>
        <w:t xml:space="preserve">costs of these measures per </w:t>
      </w:r>
      <w:r w:rsidRPr="004D71BB">
        <w:rPr>
          <w:lang w:val="en-GB"/>
        </w:rPr>
        <w:t>tCO</w:t>
      </w:r>
      <w:r w:rsidRPr="004D71BB">
        <w:rPr>
          <w:vertAlign w:val="subscript"/>
          <w:lang w:val="en-GB"/>
        </w:rPr>
        <w:t>2</w:t>
      </w:r>
      <w:r w:rsidRPr="004D71BB">
        <w:rPr>
          <w:lang w:val="en-GB"/>
        </w:rPr>
        <w:t>e</w:t>
      </w:r>
      <w:r>
        <w:rPr>
          <w:lang w:val="en-US"/>
        </w:rPr>
        <w:t xml:space="preserve"> collected each year.</w:t>
      </w:r>
      <w:r w:rsidR="00B40490">
        <w:rPr>
          <w:lang w:val="en-US"/>
        </w:rPr>
        <w:t xml:space="preserve"> It is important to consider how the climate neutrality target is defined when analyzing the output of the dashboard, as some cities may have capped how much and through what type of negative emission solutions can contribute. It is possible in the assumptions to </w:t>
      </w:r>
      <w:proofErr w:type="gramStart"/>
      <w:r w:rsidR="00B40490">
        <w:rPr>
          <w:lang w:val="en-US"/>
        </w:rPr>
        <w:t>limit</w:t>
      </w:r>
      <w:proofErr w:type="gramEnd"/>
      <w:r w:rsidR="00B40490">
        <w:rPr>
          <w:lang w:val="en-US"/>
        </w:rPr>
        <w:t xml:space="preserve"> for example carbon credits if the municipality is not “allowed” to make use of these to achieve its target.</w:t>
      </w:r>
    </w:p>
    <w:p w14:paraId="50C67E99" w14:textId="77777777" w:rsidR="005403F4" w:rsidRPr="00AF0AFB" w:rsidRDefault="005403F4" w:rsidP="00E20E52">
      <w:pPr>
        <w:spacing w:after="0" w:line="360" w:lineRule="auto"/>
        <w:contextualSpacing/>
        <w:jc w:val="both"/>
        <w:rPr>
          <w:lang w:val="en-US"/>
        </w:rPr>
      </w:pPr>
    </w:p>
    <w:p w14:paraId="52213C59" w14:textId="6DF6A7FE" w:rsidR="00AF0AFB" w:rsidRPr="003A1A12" w:rsidRDefault="005403F4" w:rsidP="00DC1FA0">
      <w:pPr>
        <w:pStyle w:val="Heading3"/>
        <w:rPr>
          <w:lang w:val="en-US"/>
        </w:rPr>
      </w:pPr>
      <w:r w:rsidRPr="003A1A12">
        <w:rPr>
          <w:lang w:val="en-US"/>
        </w:rPr>
        <w:t>C</w:t>
      </w:r>
      <w:r w:rsidR="00AF0AFB" w:rsidRPr="003A1A12">
        <w:rPr>
          <w:lang w:val="en-US"/>
        </w:rPr>
        <w:t>onsumption-based measures</w:t>
      </w:r>
    </w:p>
    <w:p w14:paraId="6014F4E7" w14:textId="77777777" w:rsidR="00AF0AFB" w:rsidRPr="003A1A12" w:rsidRDefault="00AF0AFB" w:rsidP="00DC1FA0">
      <w:pPr>
        <w:pStyle w:val="Heading4"/>
        <w:rPr>
          <w:lang w:val="en-US"/>
        </w:rPr>
      </w:pPr>
      <w:r w:rsidRPr="003A1A12">
        <w:rPr>
          <w:lang w:val="en-US"/>
        </w:rPr>
        <w:t>Food consumption</w:t>
      </w:r>
    </w:p>
    <w:p w14:paraId="1F042234" w14:textId="53714720" w:rsidR="00AF0AFB" w:rsidRPr="00AF0AFB" w:rsidRDefault="00AF0AFB" w:rsidP="00E20E52">
      <w:pPr>
        <w:spacing w:after="0" w:line="360" w:lineRule="auto"/>
        <w:contextualSpacing/>
        <w:jc w:val="both"/>
        <w:rPr>
          <w:lang w:val="en-US"/>
        </w:rPr>
      </w:pPr>
      <w:r w:rsidRPr="00AF0AFB">
        <w:rPr>
          <w:lang w:val="en-US"/>
        </w:rPr>
        <w:t xml:space="preserve">The environmental impacts of different diets compared to the current Swedish one are estimated using the work of </w:t>
      </w:r>
      <w:r w:rsidRPr="00AF0AFB">
        <w:rPr>
          <w:lang w:val="en-US"/>
        </w:rPr>
        <w:fldChar w:fldCharType="begin"/>
      </w:r>
      <w:r w:rsidR="003821FD">
        <w:rPr>
          <w:lang w:val="en-US"/>
        </w:rPr>
        <w:instrText xml:space="preserve"> ADDIN ZOTERO_ITEM CSL_CITATION {"citationID":"3AfWoZWU","properties":{"formattedCitation":"(Martin and Brand\\uc0\\u227{}o 2017)","plainCitation":"(Martin and Brandão 2017)","dontUpdate":true,"noteIndex":0},"citationItems":[{"id":4665,"uris":["http://zotero.org/groups/2281212/items/IMCRMI9U"],"itemData":{"id":4665,"type":"article-journal","abstract":"In recent years, a growing interest from consumers to know the origins and contents of foods has put alternative choices, such as organic foods and dietary changes, on the agenda. Dietary choices are important to address, as many studies find that activities related to food production account for nearly 20–30% of anthropogenic greenhouse gas (GHG) emissions. Nonetheless, while GHG emissions are important, often other environmental impact categories are not considered in the assessment of the sustainability of different foods, diets and choices. This study aims to quantify the implications of dietary choices for Swedish food consumption on a broad range of environmental impact categories using life cycle assessment to provide insight into the impacts, and potential tradeoffs, associated with certain food products and dietary choices. Scenarios are used to assess the implications of diets with reduced meat, increased Swedish food consumption, increased organic foods, vegan and semi-vegetarian diets. The results indicate that tradeoffs could be possible with certain dietary choices. Increasing Swedish food production and consumption may lead to lower impacts for all impact categories by reducing imports, although limitations in growing season and availability of foods in Sweden allows only for minor increases. The results also indicate that large reductions of greenhouse gas emissions are possible by reducing meat consumption, i.e., by halving meat consumption and through vegan and vegetarian diets. Nonetheless, an increase in vegetable, legume and fruit products may lead to a potential increase in human and ecosystem toxicity. Diets based on nutritional guidelines, show reductions in all impact categories, as these guidelines call for an increase in vegetables and fruits and a reduction in meat consumption. An increase in organic foods showed no significant change in climate impact, although toxicity potential was reduced significantly. Increasing consumption of organic foods may also lead to a reduction in biodiversity damage potential, and if all food is produced organically, it risks increasing eutrophication and land use.","container-title":"Sustainability","DOI":"10.3390/su9122227","issue":"12","language":"en","license":"http://creativecommons.org/licenses/by/3.0/","note":"number: 12\npublisher: Multidisciplinary Digital Publishing Institute","page":"2227","source":"www.mdpi.com","title":"Evaluating the Environmental Consequences of Swedish Food Consumption and Dietary Choices","URL":"https://www.mdpi.com/2071-1050/9/12/2227","volume":"9","author":[{"family":"Martin","given":"Michael"},{"family":"Brandão","given":"Miguel"}],"accessed":{"date-parts":[["2021",5,28]]},"issued":{"date-parts":[["2017",12]]}}}],"schema":"https://github.com/citation-style-language/schema/raw/master/csl-citation.json"} </w:instrText>
      </w:r>
      <w:r w:rsidRPr="00AF0AFB">
        <w:rPr>
          <w:lang w:val="en-US"/>
        </w:rPr>
        <w:fldChar w:fldCharType="separate"/>
      </w:r>
      <w:r w:rsidRPr="00AF0AFB">
        <w:rPr>
          <w:rFonts w:ascii="Calibri" w:hAnsi="Calibri" w:cs="Calibri"/>
          <w:lang w:val="en-US"/>
        </w:rPr>
        <w:t>Martin and Brandão (2017)</w:t>
      </w:r>
      <w:r w:rsidRPr="00AF0AFB">
        <w:rPr>
          <w:lang w:val="en-US"/>
        </w:rPr>
        <w:fldChar w:fldCharType="end"/>
      </w:r>
      <w:r w:rsidRPr="00AF0AFB">
        <w:rPr>
          <w:lang w:val="en-US"/>
        </w:rPr>
        <w:t xml:space="preserve">. Given the little impact of the “Organic”, “Organic Sweden”, “Sweden Incr.”, “All Conv” and “All Organic”, we only consider the “Reduced Meat”, “Vegetarian”, “Vegan” and “Nutrition” diets. </w:t>
      </w:r>
    </w:p>
    <w:p w14:paraId="7CA0E806" w14:textId="77777777" w:rsidR="00AF0AFB" w:rsidRPr="00AF0AFB" w:rsidRDefault="00AF0AFB" w:rsidP="00E20E52">
      <w:pPr>
        <w:spacing w:after="0" w:line="360" w:lineRule="auto"/>
        <w:contextualSpacing/>
        <w:jc w:val="both"/>
        <w:rPr>
          <w:lang w:val="en-US"/>
        </w:rPr>
      </w:pPr>
    </w:p>
    <w:p w14:paraId="43F224CB" w14:textId="77777777" w:rsidR="00AF0AFB" w:rsidRPr="00AF0AFB" w:rsidRDefault="00AF0AFB" w:rsidP="00E20E52">
      <w:pPr>
        <w:pStyle w:val="Heading4"/>
        <w:spacing w:before="0" w:line="360" w:lineRule="auto"/>
        <w:contextualSpacing/>
        <w:rPr>
          <w:lang w:val="en-US"/>
        </w:rPr>
      </w:pPr>
      <w:r w:rsidRPr="00AF0AFB">
        <w:rPr>
          <w:lang w:val="en-US"/>
        </w:rPr>
        <w:t>Restaurants and hotels</w:t>
      </w:r>
    </w:p>
    <w:p w14:paraId="3B7A47E7" w14:textId="51C50044" w:rsidR="00AF0AFB" w:rsidRPr="00AF0AFB" w:rsidRDefault="00AF0AFB" w:rsidP="00E20E52">
      <w:pPr>
        <w:spacing w:after="0" w:line="360" w:lineRule="auto"/>
        <w:contextualSpacing/>
        <w:jc w:val="both"/>
        <w:rPr>
          <w:lang w:val="en-US"/>
        </w:rPr>
      </w:pPr>
      <w:r w:rsidRPr="00AF0AFB">
        <w:rPr>
          <w:lang w:val="en-US"/>
        </w:rPr>
        <w:t xml:space="preserve">We use the finding by </w:t>
      </w:r>
      <w:r w:rsidRPr="00AF0AFB">
        <w:rPr>
          <w:lang w:val="en-US"/>
        </w:rPr>
        <w:fldChar w:fldCharType="begin"/>
      </w:r>
      <w:r w:rsidR="003821FD">
        <w:rPr>
          <w:lang w:val="en-US"/>
        </w:rPr>
        <w:instrText xml:space="preserve"> ADDIN ZOTERO_ITEM CSL_CITATION {"citationID":"uvTv3WzU","properties":{"formattedCitation":"(Eriksson et al. 2017)","plainCitation":"(Eriksson et al. 2017)","dontUpdate":true,"noteIndex":0},"citationItems":[{"id":4625,"uris":["http://zotero.org/groups/2281212/items/SPP74KKI"],"itemData":{"id":4625,"type":"article-journal","abstract":"Food waste is a major problem that must be reduced in order to achieve a sustainable food supply chain. Since food waste valorisation measures, like energy recovery, have limited possibilities to fully recover the resources invested in food production, there is a need to prevent food waste. Prevention is most important at the end of the value chain, where the largest number of sub-processes have already taken place and occur in vain if the food is not used for its intended purpose, i.e. consumption. Catering facilities and households are at the very end of the food supply chain, and in Sweden the public catering sector serves a large number of meals through municipal organisations, including schools, preschools and elderly care homes. Since the first step in waste reduction is to establish a baseline measurement in order to identify problems, this study sought to quantify food waste in schools, preschools and elderly care homes in one municipality in Sweden. The quantification was conducted during three months, spread out over three semesters, and was performed in all 30 public kitchen units in the municipality of Sala. The kitchen staff used kitchen scales to quantify the mass of wasted and served food divided into serving waste (with sub-categories), plate waste and other food waste. The food waste level was quantified as 75g of food waste per portion served, or 23% of the mass of food served. However, there was great variation between kitchens, with the waste level ranging from 33g waste per portion served (13%) to 131g waste per portion served (34%). Wasted food consisted of 64% serving waste, 33% plate waste and 3% other food waste. Preschools had a lower waste level than schools, possibly due to preschool carers eating together with the children. Kitchens that received warm food prepared in another kitchen (satellite kitchens) had a 42% higher waste level than kitchens preparing all food themselves (production units), possibly due to the latter having higher flexibility in cooking the right amount of food and being able to chill and save surplus food. The large variation between kitchens indicates that they have different causes of food waste, but also different opportunities to reduce it. Detailed waste quantification for each kitchen can therefore be the first step in the process of waste reduction.","container-title":"Waste Management","DOI":"10.1016/j.wasman.2017.01.035","ISSN":"0956-053X","journalAbbreviation":"Waste Management","language":"en","page":"415-422","source":"ScienceDirect","title":"Quantification of food waste in public catering services – A case study from a Swedish municipality","URL":"https://www.sciencedirect.com/science/article/pii/S0956053X17300351","volume":"61","author":[{"family":"Eriksson","given":"Mattias"},{"family":"Persson Osowski","given":"Christine"},{"family":"Malefors","given":"Christopher"},{"family":"Björkman","given":"Jesper"},{"family":"Eriksson","given":"Emelie"}],"accessed":{"date-parts":[["2021",7,2]]},"issued":{"date-parts":[["2017",3,1]]}}}],"schema":"https://github.com/citation-style-language/schema/raw/master/csl-citation.json"} </w:instrText>
      </w:r>
      <w:r w:rsidRPr="00AF0AFB">
        <w:rPr>
          <w:lang w:val="en-US"/>
        </w:rPr>
        <w:fldChar w:fldCharType="separate"/>
      </w:r>
      <w:r w:rsidRPr="00AF0AFB">
        <w:rPr>
          <w:rFonts w:ascii="Calibri" w:hAnsi="Calibri" w:cs="Calibri"/>
          <w:lang w:val="en-US"/>
        </w:rPr>
        <w:t>Eriksson et al. (2017)</w:t>
      </w:r>
      <w:r w:rsidRPr="00AF0AFB">
        <w:rPr>
          <w:lang w:val="en-US"/>
        </w:rPr>
        <w:fldChar w:fldCharType="end"/>
      </w:r>
      <w:r w:rsidRPr="00AF0AFB">
        <w:rPr>
          <w:lang w:val="en-US"/>
        </w:rPr>
        <w:t xml:space="preserve"> to assume that if restaurants and catering services were able to avoid this food waste, their carbon footprint would be reduced by the same proportion: a Y% reduction in food waste is matched by a Y% reduction of emissions of food waste from restaurants and hotels.</w:t>
      </w:r>
    </w:p>
    <w:p w14:paraId="5D253FAF" w14:textId="77777777" w:rsidR="00AF0AFB" w:rsidRPr="00AF0AFB" w:rsidRDefault="00AF0AFB" w:rsidP="00E20E52">
      <w:pPr>
        <w:spacing w:after="0" w:line="360" w:lineRule="auto"/>
        <w:contextualSpacing/>
        <w:jc w:val="both"/>
        <w:rPr>
          <w:lang w:val="en-US"/>
        </w:rPr>
      </w:pPr>
    </w:p>
    <w:p w14:paraId="79090373" w14:textId="77777777" w:rsidR="00AF0AFB" w:rsidRPr="00AF0AFB" w:rsidRDefault="00AF0AFB" w:rsidP="00E20E52">
      <w:pPr>
        <w:pStyle w:val="Heading4"/>
        <w:spacing w:before="0" w:line="360" w:lineRule="auto"/>
        <w:contextualSpacing/>
        <w:rPr>
          <w:lang w:val="en-US"/>
        </w:rPr>
      </w:pPr>
      <w:r w:rsidRPr="00AF0AFB">
        <w:rPr>
          <w:lang w:val="en-US"/>
        </w:rPr>
        <w:t>Clothing</w:t>
      </w:r>
    </w:p>
    <w:p w14:paraId="69D63BAD" w14:textId="77777777" w:rsidR="00AF0AFB" w:rsidRPr="00AF0AFB" w:rsidRDefault="00AF0AFB" w:rsidP="00E20E52">
      <w:pPr>
        <w:spacing w:after="0" w:line="360" w:lineRule="auto"/>
        <w:contextualSpacing/>
        <w:jc w:val="both"/>
        <w:rPr>
          <w:lang w:val="en-US"/>
        </w:rPr>
      </w:pPr>
      <w:r w:rsidRPr="00AF0AFB">
        <w:rPr>
          <w:lang w:val="en-US"/>
        </w:rPr>
        <w:t xml:space="preserve">The impact of the “doubling the lifetime of the life of garments” is assumed to half the emissions from the clothing industry. Behind this assumption is the idea that doubling the lifetime of clothes will halves the demand </w:t>
      </w:r>
      <w:proofErr w:type="gramStart"/>
      <w:r w:rsidRPr="00AF0AFB">
        <w:rPr>
          <w:lang w:val="en-US"/>
        </w:rPr>
        <w:t>of</w:t>
      </w:r>
      <w:proofErr w:type="gramEnd"/>
      <w:r w:rsidRPr="00AF0AFB">
        <w:rPr>
          <w:lang w:val="en-US"/>
        </w:rPr>
        <w:t xml:space="preserve"> new clothes. Reducing clothes consumption by 30%, a reduction that we deemed reasonable, would, in our assumptions, contribute to </w:t>
      </w:r>
      <w:proofErr w:type="gramStart"/>
      <w:r w:rsidRPr="00AF0AFB">
        <w:rPr>
          <w:lang w:val="en-US"/>
        </w:rPr>
        <w:t>reduce</w:t>
      </w:r>
      <w:proofErr w:type="gramEnd"/>
      <w:r w:rsidRPr="00AF0AFB">
        <w:rPr>
          <w:lang w:val="en-US"/>
        </w:rPr>
        <w:t xml:space="preserve"> emissions from the clothing sector by 30%.</w:t>
      </w:r>
    </w:p>
    <w:p w14:paraId="5ABC4113" w14:textId="77777777" w:rsidR="00AF0AFB" w:rsidRPr="00AF0AFB" w:rsidRDefault="00AF0AFB" w:rsidP="00E20E52">
      <w:pPr>
        <w:spacing w:after="0" w:line="360" w:lineRule="auto"/>
        <w:contextualSpacing/>
        <w:jc w:val="both"/>
        <w:rPr>
          <w:lang w:val="en-US"/>
        </w:rPr>
      </w:pPr>
    </w:p>
    <w:p w14:paraId="03195EF5" w14:textId="77777777" w:rsidR="00AF0AFB" w:rsidRPr="00AF0AFB" w:rsidRDefault="00AF0AFB" w:rsidP="00E20E52">
      <w:pPr>
        <w:pStyle w:val="Heading4"/>
        <w:spacing w:before="0" w:line="360" w:lineRule="auto"/>
        <w:contextualSpacing/>
        <w:rPr>
          <w:lang w:val="en-US"/>
        </w:rPr>
      </w:pPr>
      <w:r w:rsidRPr="00AF0AFB">
        <w:rPr>
          <w:lang w:val="en-US"/>
        </w:rPr>
        <w:t>Household furniture</w:t>
      </w:r>
    </w:p>
    <w:p w14:paraId="7F5C8370" w14:textId="37B86139" w:rsidR="00AF0AFB" w:rsidRPr="00AF0AFB" w:rsidRDefault="00AF0AFB" w:rsidP="00E20E52">
      <w:pPr>
        <w:spacing w:after="0" w:line="360" w:lineRule="auto"/>
        <w:contextualSpacing/>
        <w:jc w:val="both"/>
        <w:rPr>
          <w:lang w:val="en-US"/>
        </w:rPr>
      </w:pPr>
      <w:r w:rsidRPr="00AF0AFB">
        <w:rPr>
          <w:lang w:val="en-US"/>
        </w:rPr>
        <w:t xml:space="preserve">As with the case of the clothing industry, we assume that reducing the demand </w:t>
      </w:r>
      <w:proofErr w:type="gramStart"/>
      <w:r w:rsidRPr="00AF0AFB">
        <w:rPr>
          <w:lang w:val="en-US"/>
        </w:rPr>
        <w:t>of</w:t>
      </w:r>
      <w:proofErr w:type="gramEnd"/>
      <w:r w:rsidRPr="00AF0AFB">
        <w:rPr>
          <w:lang w:val="en-US"/>
        </w:rPr>
        <w:t xml:space="preserve"> furniture through, for instance, extending the life of the pieces of furniture, will reduce the emissions by the same percentage. That implies that halving furniture consumption would halve emissions from the actions associated with this activity.</w:t>
      </w:r>
    </w:p>
    <w:p w14:paraId="1B2B66DD" w14:textId="77777777" w:rsidR="00AF0AFB" w:rsidRPr="00AF0AFB" w:rsidRDefault="00AF0AFB" w:rsidP="00E20E52">
      <w:pPr>
        <w:spacing w:after="0" w:line="360" w:lineRule="auto"/>
        <w:contextualSpacing/>
        <w:jc w:val="both"/>
        <w:rPr>
          <w:lang w:val="en-US"/>
        </w:rPr>
      </w:pPr>
    </w:p>
    <w:p w14:paraId="6B15EA8C" w14:textId="77777777" w:rsidR="00AF0AFB" w:rsidRPr="00AF0AFB" w:rsidRDefault="00AF0AFB" w:rsidP="00E20E52">
      <w:pPr>
        <w:pStyle w:val="Heading4"/>
        <w:spacing w:before="0" w:line="360" w:lineRule="auto"/>
        <w:contextualSpacing/>
        <w:rPr>
          <w:lang w:val="en-US"/>
        </w:rPr>
      </w:pPr>
      <w:r w:rsidRPr="00AF0AFB">
        <w:rPr>
          <w:lang w:val="en-US"/>
        </w:rPr>
        <w:t>Recreation</w:t>
      </w:r>
    </w:p>
    <w:p w14:paraId="42D3FAE4" w14:textId="77777777" w:rsidR="00AF0AFB" w:rsidRDefault="00AF0AFB" w:rsidP="00E20E52">
      <w:pPr>
        <w:spacing w:after="0" w:line="360" w:lineRule="auto"/>
        <w:contextualSpacing/>
        <w:jc w:val="both"/>
        <w:rPr>
          <w:lang w:val="en-US"/>
        </w:rPr>
      </w:pPr>
      <w:r w:rsidRPr="00AF0AFB">
        <w:rPr>
          <w:lang w:val="en-US"/>
        </w:rPr>
        <w:t xml:space="preserve">We assume that reducing the demand for recreation services will reduce the emissions from these activities by the same percentage. Doubling the life of recreational equipment is assumed to reduce emissions from recreational equipment consumption by 50%. </w:t>
      </w:r>
    </w:p>
    <w:p w14:paraId="6BCEBCC0" w14:textId="77777777" w:rsidR="005403F4" w:rsidRDefault="005403F4" w:rsidP="00E20E52">
      <w:pPr>
        <w:spacing w:after="0" w:line="360" w:lineRule="auto"/>
        <w:contextualSpacing/>
        <w:jc w:val="both"/>
        <w:rPr>
          <w:lang w:val="en-US"/>
        </w:rPr>
      </w:pPr>
    </w:p>
    <w:p w14:paraId="0719A025" w14:textId="71BB482C" w:rsidR="005403F4" w:rsidRPr="005403F4" w:rsidRDefault="005403F4" w:rsidP="00DC1FA0">
      <w:pPr>
        <w:pStyle w:val="Heading4"/>
        <w:rPr>
          <w:lang w:val="en-US"/>
        </w:rPr>
      </w:pPr>
      <w:r w:rsidRPr="005403F4">
        <w:rPr>
          <w:lang w:val="en-US"/>
        </w:rPr>
        <w:t>District heating</w:t>
      </w:r>
    </w:p>
    <w:p w14:paraId="0C3577EE" w14:textId="77777777" w:rsidR="005403F4" w:rsidRPr="00AF0AFB" w:rsidRDefault="005403F4" w:rsidP="00E20E52">
      <w:pPr>
        <w:spacing w:after="0" w:line="360" w:lineRule="auto"/>
        <w:contextualSpacing/>
        <w:jc w:val="both"/>
        <w:rPr>
          <w:lang w:val="en-US"/>
        </w:rPr>
      </w:pPr>
      <w:r>
        <w:rPr>
          <w:lang w:val="en-US"/>
        </w:rPr>
        <w:t xml:space="preserve">To address consumption-based emissions there is also a measure </w:t>
      </w:r>
      <w:r w:rsidRPr="00AF0AFB">
        <w:rPr>
          <w:lang w:val="en-US"/>
        </w:rPr>
        <w:t xml:space="preserve">of </w:t>
      </w:r>
      <w:r>
        <w:rPr>
          <w:lang w:val="en-US"/>
        </w:rPr>
        <w:t xml:space="preserve">cleaning </w:t>
      </w:r>
      <w:r w:rsidRPr="00AF0AFB">
        <w:rPr>
          <w:lang w:val="en-US"/>
        </w:rPr>
        <w:t xml:space="preserve">the district heating grid, i.e., replacing </w:t>
      </w:r>
      <w:proofErr w:type="gramStart"/>
      <w:r w:rsidRPr="00AF0AFB">
        <w:rPr>
          <w:lang w:val="en-US"/>
        </w:rPr>
        <w:t>the fossil</w:t>
      </w:r>
      <w:proofErr w:type="gramEnd"/>
      <w:r w:rsidRPr="00AF0AFB">
        <w:rPr>
          <w:lang w:val="en-US"/>
        </w:rPr>
        <w:t xml:space="preserve"> fuels with wood chips and pellets. As in the case of HVO buses, we can assess the feasibility </w:t>
      </w:r>
      <w:proofErr w:type="gramStart"/>
      <w:r w:rsidRPr="00AF0AFB">
        <w:rPr>
          <w:lang w:val="en-US"/>
        </w:rPr>
        <w:t>to provide</w:t>
      </w:r>
      <w:proofErr w:type="gramEnd"/>
      <w:r w:rsidRPr="00AF0AFB">
        <w:rPr>
          <w:lang w:val="en-US"/>
        </w:rPr>
        <w:t xml:space="preserve"> the amount of fuel that is necessary to replace all the production that comes from fossils. The replacement of fossils does not require new investment in burners so no CAPEX will emerge. We take this from the results of the analysis carried out by the Danish Energy Agency (2022), </w:t>
      </w:r>
      <w:r w:rsidRPr="00AF0AFB">
        <w:rPr>
          <w:i/>
          <w:iCs/>
          <w:lang w:val="en-US"/>
        </w:rPr>
        <w:t>Technology Data – Generation of Electricity and District heating</w:t>
      </w:r>
      <w:r w:rsidRPr="00AF0AFB">
        <w:rPr>
          <w:lang w:val="en-US"/>
        </w:rPr>
        <w:t xml:space="preserve">. The OPEX investments in this category represent the fuel costs. </w:t>
      </w:r>
    </w:p>
    <w:p w14:paraId="50ACB200" w14:textId="77777777" w:rsidR="005403F4" w:rsidRDefault="005403F4" w:rsidP="00E20E52">
      <w:pPr>
        <w:spacing w:after="0" w:line="360" w:lineRule="auto"/>
        <w:contextualSpacing/>
        <w:jc w:val="both"/>
        <w:rPr>
          <w:lang w:val="en-US"/>
        </w:rPr>
      </w:pPr>
    </w:p>
    <w:p w14:paraId="401C5622" w14:textId="77777777" w:rsidR="005914F8" w:rsidRPr="00F955A1" w:rsidRDefault="005914F8" w:rsidP="0055392E">
      <w:pPr>
        <w:pStyle w:val="Heading2"/>
        <w:numPr>
          <w:ilvl w:val="1"/>
          <w:numId w:val="2"/>
        </w:numPr>
        <w:spacing w:before="0" w:line="360" w:lineRule="auto"/>
        <w:ind w:left="792" w:hanging="432"/>
        <w:contextualSpacing/>
        <w:jc w:val="both"/>
        <w:rPr>
          <w:lang w:val="en-GB"/>
        </w:rPr>
      </w:pPr>
      <w:bookmarkStart w:id="9" w:name="_Toc144478185"/>
      <w:r w:rsidRPr="00F955A1">
        <w:rPr>
          <w:lang w:val="en-GB"/>
        </w:rPr>
        <w:t>Missing a climate mitigation measure or lever?</w:t>
      </w:r>
      <w:bookmarkEnd w:id="9"/>
    </w:p>
    <w:p w14:paraId="1A213C68" w14:textId="7F5A3458" w:rsidR="005914F8" w:rsidRDefault="005914F8" w:rsidP="00E20E52">
      <w:pPr>
        <w:spacing w:after="0" w:line="360" w:lineRule="auto"/>
        <w:contextualSpacing/>
        <w:jc w:val="both"/>
        <w:rPr>
          <w:rStyle w:val="hgkelc"/>
          <w:lang w:val="en-US"/>
        </w:rPr>
      </w:pPr>
      <w:r w:rsidRPr="00917896">
        <w:rPr>
          <w:rStyle w:val="hgkelc"/>
          <w:lang w:val="en-US"/>
        </w:rPr>
        <w:t>Please</w:t>
      </w:r>
      <w:r>
        <w:rPr>
          <w:rStyle w:val="hgkelc"/>
          <w:lang w:val="en-US"/>
        </w:rPr>
        <w:t xml:space="preserve"> reach out to us if you have concrete measures and available data that you think can be integrated into the model. Some detailed data can be integrated into the existing levers, for example, direct air capture and storage (DACCS) is possible by adjusting the assumption of 100% “</w:t>
      </w:r>
      <w:r w:rsidRPr="00917896">
        <w:rPr>
          <w:rStyle w:val="hgkelc"/>
          <w:lang w:val="en-US"/>
        </w:rPr>
        <w:t>Share of negative emission tech related to BECCS (and not DACCS)</w:t>
      </w:r>
      <w:r>
        <w:rPr>
          <w:rStyle w:val="hgkelc"/>
          <w:lang w:val="en-US"/>
        </w:rPr>
        <w:t>” downwards for the lever bio-CCS to also incorporate DACCS. But due to lack of data or resources there are other measures that could be specified further. One such example is organic farming, which although already possible to address under the lever “agricultural measure”, could benefit from more detailed assumptions. The following data is a good start for a new lever to easily be integrated into the model:</w:t>
      </w:r>
    </w:p>
    <w:p w14:paraId="08172465" w14:textId="77777777" w:rsidR="005914F8" w:rsidRDefault="005914F8" w:rsidP="00E20E52">
      <w:pPr>
        <w:spacing w:after="0" w:line="360" w:lineRule="auto"/>
        <w:contextualSpacing/>
        <w:jc w:val="both"/>
        <w:rPr>
          <w:rStyle w:val="hgkelc"/>
          <w:lang w:val="en-US"/>
        </w:rPr>
      </w:pPr>
    </w:p>
    <w:p w14:paraId="61D2654D" w14:textId="14F46C4A" w:rsidR="00DC1FA0" w:rsidRPr="00DC1FA0" w:rsidRDefault="00DC1FA0" w:rsidP="00DC1FA0">
      <w:pPr>
        <w:pStyle w:val="Caption"/>
        <w:rPr>
          <w:rStyle w:val="hgkelc"/>
          <w:sz w:val="22"/>
          <w:szCs w:val="22"/>
          <w:lang w:val="en-US"/>
        </w:rPr>
      </w:pPr>
      <w:r w:rsidRPr="00DC1FA0">
        <w:rPr>
          <w:sz w:val="22"/>
          <w:szCs w:val="22"/>
          <w:lang w:val="en-US"/>
        </w:rPr>
        <w:t xml:space="preserve">Table </w:t>
      </w:r>
      <w:r w:rsidRPr="00DC1FA0">
        <w:rPr>
          <w:sz w:val="22"/>
          <w:szCs w:val="22"/>
        </w:rPr>
        <w:fldChar w:fldCharType="begin"/>
      </w:r>
      <w:r w:rsidRPr="00DC1FA0">
        <w:rPr>
          <w:sz w:val="22"/>
          <w:szCs w:val="22"/>
          <w:lang w:val="en-US"/>
        </w:rPr>
        <w:instrText xml:space="preserve"> SEQ Table \* ARABIC </w:instrText>
      </w:r>
      <w:r w:rsidRPr="00DC1FA0">
        <w:rPr>
          <w:sz w:val="22"/>
          <w:szCs w:val="22"/>
        </w:rPr>
        <w:fldChar w:fldCharType="separate"/>
      </w:r>
      <w:r w:rsidR="00C80739">
        <w:rPr>
          <w:noProof/>
          <w:sz w:val="22"/>
          <w:szCs w:val="22"/>
          <w:lang w:val="en-US"/>
        </w:rPr>
        <w:t>2</w:t>
      </w:r>
      <w:r w:rsidRPr="00DC1FA0">
        <w:rPr>
          <w:sz w:val="22"/>
          <w:szCs w:val="22"/>
        </w:rPr>
        <w:fldChar w:fldCharType="end"/>
      </w:r>
      <w:r w:rsidRPr="00DC1FA0">
        <w:rPr>
          <w:sz w:val="22"/>
          <w:szCs w:val="22"/>
          <w:lang w:val="en-US"/>
        </w:rPr>
        <w:t>.</w:t>
      </w:r>
      <w:r w:rsidRPr="00DC1FA0">
        <w:rPr>
          <w:rStyle w:val="hgkelc"/>
          <w:sz w:val="22"/>
          <w:szCs w:val="22"/>
          <w:lang w:val="en-US"/>
        </w:rPr>
        <w:t xml:space="preserve"> Example of data needs to add new lever to the model.</w:t>
      </w:r>
    </w:p>
    <w:tbl>
      <w:tblPr>
        <w:tblStyle w:val="TableGrid"/>
        <w:tblW w:w="9209" w:type="dxa"/>
        <w:tblLook w:val="04A0" w:firstRow="1" w:lastRow="0" w:firstColumn="1" w:lastColumn="0" w:noHBand="0" w:noVBand="1"/>
      </w:tblPr>
      <w:tblGrid>
        <w:gridCol w:w="997"/>
        <w:gridCol w:w="2146"/>
        <w:gridCol w:w="3005"/>
        <w:gridCol w:w="3061"/>
      </w:tblGrid>
      <w:tr w:rsidR="005914F8" w:rsidRPr="00DC1FA0" w14:paraId="122A501A" w14:textId="77777777" w:rsidTr="00DC1FA0">
        <w:trPr>
          <w:trHeight w:val="257"/>
        </w:trPr>
        <w:tc>
          <w:tcPr>
            <w:tcW w:w="997" w:type="dxa"/>
            <w:shd w:val="pct10" w:color="auto" w:fill="auto"/>
          </w:tcPr>
          <w:p w14:paraId="7ADBFC85" w14:textId="77777777" w:rsidR="005914F8" w:rsidRPr="00DC1FA0" w:rsidRDefault="005914F8" w:rsidP="00E20E52">
            <w:pPr>
              <w:spacing w:after="0" w:line="360" w:lineRule="auto"/>
              <w:contextualSpacing/>
              <w:jc w:val="both"/>
              <w:rPr>
                <w:rStyle w:val="hgkelc"/>
                <w:b/>
                <w:bCs/>
                <w:lang w:val="en-US"/>
              </w:rPr>
            </w:pPr>
            <w:r w:rsidRPr="00DC1FA0">
              <w:rPr>
                <w:rStyle w:val="hgkelc"/>
                <w:b/>
                <w:bCs/>
                <w:lang w:val="en-US"/>
              </w:rPr>
              <w:t>Lever</w:t>
            </w:r>
          </w:p>
        </w:tc>
        <w:tc>
          <w:tcPr>
            <w:tcW w:w="2146" w:type="dxa"/>
            <w:shd w:val="pct10" w:color="auto" w:fill="auto"/>
          </w:tcPr>
          <w:p w14:paraId="6473859B" w14:textId="77777777" w:rsidR="005914F8" w:rsidRPr="00DC1FA0" w:rsidRDefault="005914F8" w:rsidP="00E20E52">
            <w:pPr>
              <w:spacing w:after="0" w:line="360" w:lineRule="auto"/>
              <w:contextualSpacing/>
              <w:jc w:val="both"/>
              <w:rPr>
                <w:rStyle w:val="hgkelc"/>
                <w:b/>
                <w:bCs/>
                <w:lang w:val="en-US"/>
              </w:rPr>
            </w:pPr>
            <w:r w:rsidRPr="00DC1FA0">
              <w:rPr>
                <w:rStyle w:val="hgkelc"/>
                <w:b/>
                <w:bCs/>
                <w:lang w:val="en-US"/>
              </w:rPr>
              <w:t>Impact on emissions</w:t>
            </w:r>
          </w:p>
        </w:tc>
        <w:tc>
          <w:tcPr>
            <w:tcW w:w="3005" w:type="dxa"/>
            <w:shd w:val="pct10" w:color="auto" w:fill="auto"/>
          </w:tcPr>
          <w:p w14:paraId="3ED97EEC" w14:textId="77777777" w:rsidR="005914F8" w:rsidRPr="00DC1FA0" w:rsidRDefault="005914F8" w:rsidP="00E20E52">
            <w:pPr>
              <w:spacing w:after="0" w:line="360" w:lineRule="auto"/>
              <w:contextualSpacing/>
              <w:jc w:val="both"/>
              <w:rPr>
                <w:rStyle w:val="hgkelc"/>
                <w:b/>
                <w:bCs/>
                <w:lang w:val="en-US"/>
              </w:rPr>
            </w:pPr>
            <w:r w:rsidRPr="00DC1FA0">
              <w:rPr>
                <w:rStyle w:val="hgkelc"/>
                <w:b/>
                <w:bCs/>
                <w:lang w:val="en-US"/>
              </w:rPr>
              <w:t>Assumptions in detail</w:t>
            </w:r>
          </w:p>
        </w:tc>
        <w:tc>
          <w:tcPr>
            <w:tcW w:w="3061" w:type="dxa"/>
            <w:shd w:val="pct10" w:color="auto" w:fill="auto"/>
          </w:tcPr>
          <w:p w14:paraId="38E707FD" w14:textId="77777777" w:rsidR="005914F8" w:rsidRPr="00DC1FA0" w:rsidRDefault="005914F8" w:rsidP="00E20E52">
            <w:pPr>
              <w:spacing w:after="0" w:line="360" w:lineRule="auto"/>
              <w:contextualSpacing/>
              <w:jc w:val="both"/>
              <w:rPr>
                <w:rStyle w:val="hgkelc"/>
                <w:b/>
                <w:bCs/>
                <w:lang w:val="en-US"/>
              </w:rPr>
            </w:pPr>
            <w:r w:rsidRPr="00DC1FA0">
              <w:rPr>
                <w:rStyle w:val="hgkelc"/>
                <w:b/>
                <w:bCs/>
                <w:lang w:val="en-US"/>
              </w:rPr>
              <w:t>Costs of making shift</w:t>
            </w:r>
          </w:p>
        </w:tc>
      </w:tr>
      <w:tr w:rsidR="005914F8" w:rsidRPr="00B15857" w14:paraId="0C52FAF7" w14:textId="77777777" w:rsidTr="00DC1FA0">
        <w:trPr>
          <w:trHeight w:val="1036"/>
        </w:trPr>
        <w:tc>
          <w:tcPr>
            <w:tcW w:w="997" w:type="dxa"/>
          </w:tcPr>
          <w:p w14:paraId="7C4FAB17" w14:textId="77777777" w:rsidR="005914F8" w:rsidRDefault="005914F8" w:rsidP="00E20E52">
            <w:pPr>
              <w:spacing w:after="0" w:line="360" w:lineRule="auto"/>
              <w:contextualSpacing/>
              <w:jc w:val="both"/>
              <w:rPr>
                <w:rStyle w:val="hgkelc"/>
                <w:lang w:val="en-US"/>
              </w:rPr>
            </w:pPr>
            <w:r>
              <w:rPr>
                <w:rStyle w:val="hgkelc"/>
                <w:lang w:val="en-US"/>
              </w:rPr>
              <w:t>Organic farming</w:t>
            </w:r>
          </w:p>
        </w:tc>
        <w:tc>
          <w:tcPr>
            <w:tcW w:w="2146" w:type="dxa"/>
          </w:tcPr>
          <w:p w14:paraId="176393A9" w14:textId="77777777" w:rsidR="005914F8" w:rsidRDefault="005914F8" w:rsidP="00E20E52">
            <w:pPr>
              <w:spacing w:after="0" w:line="360" w:lineRule="auto"/>
              <w:contextualSpacing/>
              <w:jc w:val="both"/>
              <w:rPr>
                <w:rStyle w:val="hgkelc"/>
                <w:lang w:val="en-US"/>
              </w:rPr>
            </w:pPr>
            <w:proofErr w:type="spellStart"/>
            <w:r>
              <w:rPr>
                <w:rStyle w:val="hgkelc"/>
                <w:lang w:val="en-US"/>
              </w:rPr>
              <w:t>e.g</w:t>
            </w:r>
            <w:proofErr w:type="spellEnd"/>
            <w:r>
              <w:rPr>
                <w:rStyle w:val="hgkelc"/>
                <w:lang w:val="en-US"/>
              </w:rPr>
              <w:t xml:space="preserve"> 80% of traditional</w:t>
            </w:r>
          </w:p>
        </w:tc>
        <w:tc>
          <w:tcPr>
            <w:tcW w:w="3005" w:type="dxa"/>
          </w:tcPr>
          <w:p w14:paraId="62246913" w14:textId="77777777" w:rsidR="005914F8" w:rsidRDefault="005914F8" w:rsidP="00E20E52">
            <w:pPr>
              <w:spacing w:after="0" w:line="360" w:lineRule="auto"/>
              <w:contextualSpacing/>
              <w:jc w:val="both"/>
              <w:rPr>
                <w:rStyle w:val="hgkelc"/>
                <w:lang w:val="en-US"/>
              </w:rPr>
            </w:pPr>
            <w:proofErr w:type="gramStart"/>
            <w:r>
              <w:rPr>
                <w:rStyle w:val="hgkelc"/>
                <w:lang w:val="en-US"/>
              </w:rPr>
              <w:t>e.g.</w:t>
            </w:r>
            <w:proofErr w:type="gramEnd"/>
            <w:r>
              <w:rPr>
                <w:rStyle w:val="hgkelc"/>
                <w:lang w:val="en-US"/>
              </w:rPr>
              <w:t xml:space="preserve"> assumption of 50% of farms in municipality shift to organic</w:t>
            </w:r>
          </w:p>
        </w:tc>
        <w:tc>
          <w:tcPr>
            <w:tcW w:w="3061" w:type="dxa"/>
          </w:tcPr>
          <w:p w14:paraId="29DFDDF6" w14:textId="77777777" w:rsidR="005914F8" w:rsidRDefault="005914F8" w:rsidP="00E20E52">
            <w:pPr>
              <w:spacing w:after="0" w:line="360" w:lineRule="auto"/>
              <w:contextualSpacing/>
              <w:jc w:val="both"/>
              <w:rPr>
                <w:rStyle w:val="hgkelc"/>
                <w:lang w:val="en-US"/>
              </w:rPr>
            </w:pPr>
            <w:proofErr w:type="gramStart"/>
            <w:r>
              <w:rPr>
                <w:rStyle w:val="hgkelc"/>
                <w:lang w:val="en-US"/>
              </w:rPr>
              <w:t>e.g.</w:t>
            </w:r>
            <w:proofErr w:type="gramEnd"/>
            <w:r>
              <w:rPr>
                <w:rStyle w:val="hgkelc"/>
                <w:lang w:val="en-US"/>
              </w:rPr>
              <w:t xml:space="preserve"> 1500 SEK/</w:t>
            </w:r>
            <w:r w:rsidRPr="0037108E">
              <w:rPr>
                <w:rStyle w:val="hgkelc"/>
                <w:lang w:val="en-GB"/>
              </w:rPr>
              <w:t>tCO</w:t>
            </w:r>
            <w:r w:rsidRPr="0037108E">
              <w:rPr>
                <w:rStyle w:val="hgkelc"/>
                <w:vertAlign w:val="subscript"/>
                <w:lang w:val="en-GB"/>
              </w:rPr>
              <w:t>2</w:t>
            </w:r>
            <w:r w:rsidRPr="0037108E">
              <w:rPr>
                <w:rStyle w:val="hgkelc"/>
                <w:lang w:val="en-GB"/>
              </w:rPr>
              <w:t>e</w:t>
            </w:r>
            <w:r>
              <w:rPr>
                <w:rStyle w:val="hgkelc"/>
                <w:lang w:val="en-US"/>
              </w:rPr>
              <w:t xml:space="preserve"> removed in CAPEX and new incomes of 200 SEK/</w:t>
            </w:r>
            <w:r w:rsidRPr="0037108E">
              <w:rPr>
                <w:rStyle w:val="hgkelc"/>
                <w:lang w:val="en-GB"/>
              </w:rPr>
              <w:t>tCO</w:t>
            </w:r>
            <w:r w:rsidRPr="0037108E">
              <w:rPr>
                <w:rStyle w:val="hgkelc"/>
                <w:vertAlign w:val="subscript"/>
                <w:lang w:val="en-GB"/>
              </w:rPr>
              <w:t>2</w:t>
            </w:r>
            <w:r w:rsidRPr="0037108E">
              <w:rPr>
                <w:rStyle w:val="hgkelc"/>
                <w:lang w:val="en-GB"/>
              </w:rPr>
              <w:t>e</w:t>
            </w:r>
            <w:r>
              <w:rPr>
                <w:rStyle w:val="hgkelc"/>
                <w:lang w:val="en-GB"/>
              </w:rPr>
              <w:t xml:space="preserve"> per year</w:t>
            </w:r>
            <w:r>
              <w:rPr>
                <w:rStyle w:val="FootnoteReference"/>
                <w:lang w:val="en-GB"/>
              </w:rPr>
              <w:footnoteReference w:id="8"/>
            </w:r>
          </w:p>
        </w:tc>
      </w:tr>
    </w:tbl>
    <w:p w14:paraId="7D6EFB30" w14:textId="77777777" w:rsidR="005403F4" w:rsidRPr="00AF0AFB" w:rsidRDefault="005403F4" w:rsidP="00E20E52">
      <w:pPr>
        <w:spacing w:after="0" w:line="360" w:lineRule="auto"/>
        <w:contextualSpacing/>
        <w:jc w:val="both"/>
        <w:rPr>
          <w:lang w:val="en-US"/>
        </w:rPr>
      </w:pPr>
    </w:p>
    <w:p w14:paraId="594CC462" w14:textId="77777777" w:rsidR="00AF0AFB" w:rsidRPr="00AF0AFB" w:rsidRDefault="00AF0AFB" w:rsidP="00E20E52">
      <w:pPr>
        <w:spacing w:after="0" w:line="360" w:lineRule="auto"/>
        <w:contextualSpacing/>
        <w:jc w:val="both"/>
        <w:rPr>
          <w:lang w:val="en-US"/>
        </w:rPr>
      </w:pPr>
    </w:p>
    <w:p w14:paraId="7116CF59" w14:textId="77777777" w:rsidR="00AF0AFB" w:rsidRPr="00AF0AFB" w:rsidRDefault="00AF0AFB" w:rsidP="00E20E52">
      <w:pPr>
        <w:pStyle w:val="Heading1"/>
        <w:numPr>
          <w:ilvl w:val="0"/>
          <w:numId w:val="2"/>
        </w:numPr>
        <w:spacing w:before="0" w:after="0" w:line="360" w:lineRule="auto"/>
        <w:ind w:left="360" w:hanging="360"/>
        <w:contextualSpacing/>
        <w:jc w:val="both"/>
        <w:rPr>
          <w:lang w:val="en-US"/>
        </w:rPr>
      </w:pPr>
      <w:bookmarkStart w:id="10" w:name="_Toc144478186"/>
      <w:r w:rsidRPr="00AF0AFB">
        <w:rPr>
          <w:lang w:val="en-US"/>
        </w:rPr>
        <w:t>How to use the tool</w:t>
      </w:r>
      <w:bookmarkEnd w:id="10"/>
    </w:p>
    <w:p w14:paraId="4A7AFB63" w14:textId="69DF939C" w:rsidR="005914F8" w:rsidRPr="00AF0AFB" w:rsidRDefault="005914F8" w:rsidP="00E20E52">
      <w:pPr>
        <w:pStyle w:val="Heading2"/>
        <w:numPr>
          <w:ilvl w:val="1"/>
          <w:numId w:val="2"/>
        </w:numPr>
        <w:spacing w:before="0" w:line="360" w:lineRule="auto"/>
        <w:ind w:left="792" w:hanging="432"/>
        <w:contextualSpacing/>
        <w:jc w:val="both"/>
        <w:rPr>
          <w:lang w:val="en-US"/>
        </w:rPr>
      </w:pPr>
      <w:bookmarkStart w:id="11" w:name="_Toc144478187"/>
      <w:r>
        <w:rPr>
          <w:lang w:val="en-US"/>
        </w:rPr>
        <w:t>How to interact with the dashboard</w:t>
      </w:r>
      <w:bookmarkEnd w:id="11"/>
    </w:p>
    <w:p w14:paraId="131D6AD1" w14:textId="7ACF9CCB" w:rsidR="00AF0AFB" w:rsidRPr="00AF0AFB" w:rsidRDefault="00AF0AFB" w:rsidP="00E20E52">
      <w:pPr>
        <w:spacing w:after="0" w:line="360" w:lineRule="auto"/>
        <w:contextualSpacing/>
        <w:jc w:val="both"/>
        <w:rPr>
          <w:lang w:val="en-US"/>
        </w:rPr>
      </w:pPr>
      <w:r w:rsidRPr="00AF0AFB">
        <w:rPr>
          <w:lang w:val="en-US"/>
        </w:rPr>
        <w:t>The dashboard contains the territorial emissions and consumption-based emissions (household level only), base year</w:t>
      </w:r>
      <w:r w:rsidR="00C15AB2">
        <w:rPr>
          <w:lang w:val="en-US"/>
        </w:rPr>
        <w:t xml:space="preserve"> 2021 and</w:t>
      </w:r>
      <w:r w:rsidRPr="00AF0AFB">
        <w:rPr>
          <w:lang w:val="en-US"/>
        </w:rPr>
        <w:t xml:space="preserve"> 2019</w:t>
      </w:r>
      <w:r w:rsidR="00C15AB2">
        <w:rPr>
          <w:lang w:val="en-US"/>
        </w:rPr>
        <w:t xml:space="preserve"> respectively</w:t>
      </w:r>
      <w:r w:rsidRPr="00AF0AFB">
        <w:rPr>
          <w:lang w:val="en-US"/>
        </w:rPr>
        <w:t xml:space="preserve">, for all </w:t>
      </w:r>
      <w:r w:rsidR="00C15AB2">
        <w:rPr>
          <w:lang w:val="en-US"/>
        </w:rPr>
        <w:t xml:space="preserve">290 municipalities </w:t>
      </w:r>
      <w:r w:rsidRPr="00AF0AFB">
        <w:rPr>
          <w:lang w:val="en-US"/>
        </w:rPr>
        <w:t xml:space="preserve">in Sweden. </w:t>
      </w:r>
    </w:p>
    <w:p w14:paraId="6A97938A" w14:textId="77777777" w:rsidR="00AF0AFB" w:rsidRPr="00AF0AFB" w:rsidRDefault="00AF0AFB" w:rsidP="00E20E52">
      <w:pPr>
        <w:spacing w:after="0" w:line="360" w:lineRule="auto"/>
        <w:contextualSpacing/>
        <w:jc w:val="both"/>
        <w:rPr>
          <w:lang w:val="en-US"/>
        </w:rPr>
      </w:pPr>
    </w:p>
    <w:p w14:paraId="5403F723" w14:textId="41BF8C36" w:rsidR="00AF0AFB" w:rsidRPr="00AF0AFB" w:rsidRDefault="00AF0AFB" w:rsidP="00E20E52">
      <w:pPr>
        <w:spacing w:after="0" w:line="360" w:lineRule="auto"/>
        <w:contextualSpacing/>
        <w:jc w:val="both"/>
        <w:rPr>
          <w:lang w:val="en-US"/>
        </w:rPr>
      </w:pPr>
      <w:r w:rsidRPr="00AF0AFB">
        <w:rPr>
          <w:lang w:val="en-US"/>
        </w:rPr>
        <w:t xml:space="preserve">The home page briefly presents the concept of our work. At the top, there are three orange buttons (“Learn More”, “Glossary” and “Methodology”) which provide answers to some of the questions that may arise when using the tool. </w:t>
      </w:r>
      <w:r w:rsidR="00ED1739">
        <w:rPr>
          <w:lang w:val="en-US"/>
        </w:rPr>
        <w:t>That is also where this user guide can be found!</w:t>
      </w:r>
    </w:p>
    <w:p w14:paraId="372CEA09" w14:textId="77777777" w:rsidR="00AF0AFB" w:rsidRPr="00AF0AFB" w:rsidRDefault="00AF0AFB" w:rsidP="00E20E52">
      <w:pPr>
        <w:pStyle w:val="ListParagraph"/>
        <w:numPr>
          <w:ilvl w:val="0"/>
          <w:numId w:val="4"/>
        </w:numPr>
        <w:spacing w:after="0" w:line="360" w:lineRule="auto"/>
        <w:jc w:val="both"/>
        <w:rPr>
          <w:lang w:val="en-US"/>
        </w:rPr>
      </w:pPr>
      <w:r w:rsidRPr="00AF0AFB">
        <w:rPr>
          <w:lang w:val="en-US"/>
        </w:rPr>
        <w:t xml:space="preserve">The Learn More </w:t>
      </w:r>
      <w:proofErr w:type="gramStart"/>
      <w:r w:rsidRPr="00AF0AFB">
        <w:rPr>
          <w:lang w:val="en-US"/>
        </w:rPr>
        <w:t>button</w:t>
      </w:r>
      <w:proofErr w:type="gramEnd"/>
      <w:r w:rsidRPr="00AF0AFB">
        <w:rPr>
          <w:lang w:val="en-US"/>
        </w:rPr>
        <w:t xml:space="preserve"> contains links to the Stockholm Environment Institute’s webpage that is dedicated to the project (Viable Cities Finance) and to the website of Viable Cities. Contact details of the model designers are also provided, should the user have any further questions.</w:t>
      </w:r>
    </w:p>
    <w:p w14:paraId="511B1976" w14:textId="77777777" w:rsidR="00AF0AFB" w:rsidRPr="00AF0AFB" w:rsidRDefault="00AF0AFB" w:rsidP="00E20E52">
      <w:pPr>
        <w:pStyle w:val="ListParagraph"/>
        <w:numPr>
          <w:ilvl w:val="0"/>
          <w:numId w:val="4"/>
        </w:numPr>
        <w:spacing w:after="0" w:line="360" w:lineRule="auto"/>
        <w:jc w:val="both"/>
        <w:rPr>
          <w:lang w:val="en-US"/>
        </w:rPr>
      </w:pPr>
      <w:r w:rsidRPr="00AF0AFB">
        <w:rPr>
          <w:lang w:val="en-US"/>
        </w:rPr>
        <w:t xml:space="preserve">The Glossary button contains some of the terms mentioned in the tool. </w:t>
      </w:r>
    </w:p>
    <w:p w14:paraId="17AC9491" w14:textId="77777777" w:rsidR="00AF0AFB" w:rsidRPr="00AF0AFB" w:rsidRDefault="00AF0AFB" w:rsidP="00E20E52">
      <w:pPr>
        <w:pStyle w:val="ListParagraph"/>
        <w:numPr>
          <w:ilvl w:val="0"/>
          <w:numId w:val="4"/>
        </w:numPr>
        <w:spacing w:after="0" w:line="360" w:lineRule="auto"/>
        <w:jc w:val="both"/>
        <w:rPr>
          <w:lang w:val="en-US"/>
        </w:rPr>
      </w:pPr>
      <w:r w:rsidRPr="00AF0AFB">
        <w:rPr>
          <w:lang w:val="en-US"/>
        </w:rPr>
        <w:t xml:space="preserve">The Methodology button briefly presents the data sources and the reasoning behind the model. </w:t>
      </w:r>
    </w:p>
    <w:p w14:paraId="52CC4A34" w14:textId="1D648FC3" w:rsidR="00AF0AFB" w:rsidRPr="00AF0AFB" w:rsidRDefault="00AF0AFB" w:rsidP="00E20E52">
      <w:pPr>
        <w:spacing w:after="0" w:line="360" w:lineRule="auto"/>
        <w:contextualSpacing/>
        <w:jc w:val="both"/>
        <w:rPr>
          <w:lang w:val="en-US"/>
        </w:rPr>
      </w:pPr>
    </w:p>
    <w:p w14:paraId="5DB92C19" w14:textId="77777777" w:rsidR="00312572" w:rsidRDefault="00AF0AFB" w:rsidP="00E20E52">
      <w:pPr>
        <w:spacing w:after="0" w:line="360" w:lineRule="auto"/>
        <w:contextualSpacing/>
        <w:jc w:val="both"/>
        <w:rPr>
          <w:lang w:val="en-US"/>
        </w:rPr>
      </w:pPr>
      <w:r w:rsidRPr="00AF0AFB">
        <w:rPr>
          <w:lang w:val="en-US"/>
        </w:rPr>
        <w:t xml:space="preserve">On the home page, there are two dropdown menus that allow the user to choose the municipality in focus. On the left, Swedish regions can be used to filter municipalities. On the right, any of the </w:t>
      </w:r>
      <w:r w:rsidR="00ED1739">
        <w:rPr>
          <w:lang w:val="en-US"/>
        </w:rPr>
        <w:t>290</w:t>
      </w:r>
      <w:r w:rsidRPr="00AF0AFB">
        <w:rPr>
          <w:lang w:val="en-US"/>
        </w:rPr>
        <w:t xml:space="preserve"> municipalities can be selected. Users can either scroll to the required municipality</w:t>
      </w:r>
      <w:r w:rsidR="00312572">
        <w:rPr>
          <w:lang w:val="en-US"/>
        </w:rPr>
        <w:t xml:space="preserve"> </w:t>
      </w:r>
      <w:r w:rsidRPr="00AF0AFB">
        <w:rPr>
          <w:lang w:val="en-US"/>
        </w:rPr>
        <w:t>or type the first few letters of the municipality</w:t>
      </w:r>
      <w:r w:rsidR="00ED1739">
        <w:rPr>
          <w:lang w:val="en-US"/>
        </w:rPr>
        <w:t xml:space="preserve"> (s</w:t>
      </w:r>
      <w:r w:rsidRPr="00AF0AFB">
        <w:rPr>
          <w:lang w:val="en-US"/>
        </w:rPr>
        <w:t>electing a region first is not mandatory</w:t>
      </w:r>
      <w:r w:rsidR="00ED1739">
        <w:rPr>
          <w:lang w:val="en-US"/>
        </w:rPr>
        <w:t>).</w:t>
      </w:r>
    </w:p>
    <w:p w14:paraId="02478A55" w14:textId="0B29CD64" w:rsidR="00AF0AFB" w:rsidRPr="00AF0AFB" w:rsidRDefault="00ED1739" w:rsidP="00E20E52">
      <w:pPr>
        <w:spacing w:after="0" w:line="360" w:lineRule="auto"/>
        <w:contextualSpacing/>
        <w:jc w:val="both"/>
        <w:rPr>
          <w:lang w:val="en-US"/>
        </w:rPr>
      </w:pPr>
      <w:r w:rsidRPr="00ED1739">
        <w:rPr>
          <w:noProof/>
          <w:lang w:val="en-US"/>
        </w:rPr>
        <w:drawing>
          <wp:inline distT="0" distB="0" distL="0" distR="0" wp14:anchorId="15D5B4E3" wp14:editId="5199B7CB">
            <wp:extent cx="6005002" cy="2669185"/>
            <wp:effectExtent l="19050" t="19050" r="15240" b="17145"/>
            <wp:docPr id="1368486512" name="Picture 13684865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6512" name="Picture 1" descr="A screenshot of a computer&#10;&#10;Description automatically generated"/>
                    <pic:cNvPicPr/>
                  </pic:nvPicPr>
                  <pic:blipFill>
                    <a:blip r:embed="rId21"/>
                    <a:stretch>
                      <a:fillRect/>
                    </a:stretch>
                  </pic:blipFill>
                  <pic:spPr>
                    <a:xfrm>
                      <a:off x="0" y="0"/>
                      <a:ext cx="6076819" cy="2701107"/>
                    </a:xfrm>
                    <a:prstGeom prst="rect">
                      <a:avLst/>
                    </a:prstGeom>
                    <a:ln>
                      <a:solidFill>
                        <a:schemeClr val="tx1"/>
                      </a:solidFill>
                    </a:ln>
                  </pic:spPr>
                </pic:pic>
              </a:graphicData>
            </a:graphic>
          </wp:inline>
        </w:drawing>
      </w:r>
    </w:p>
    <w:p w14:paraId="0D927F67" w14:textId="77777777" w:rsidR="00AF0AFB" w:rsidRPr="00AF0AFB" w:rsidRDefault="00AF0AFB" w:rsidP="00E20E52">
      <w:pPr>
        <w:spacing w:after="0" w:line="360" w:lineRule="auto"/>
        <w:contextualSpacing/>
        <w:jc w:val="both"/>
        <w:rPr>
          <w:lang w:val="en-US"/>
        </w:rPr>
      </w:pPr>
      <w:r w:rsidRPr="00AF0AFB">
        <w:rPr>
          <w:noProof/>
          <w:lang w:val="en-US"/>
        </w:rPr>
        <mc:AlternateContent>
          <mc:Choice Requires="wps">
            <w:drawing>
              <wp:anchor distT="45720" distB="45720" distL="114300" distR="114300" simplePos="0" relativeHeight="251658240" behindDoc="0" locked="0" layoutInCell="1" allowOverlap="1" wp14:anchorId="1BA3F579" wp14:editId="7C0CF1C7">
                <wp:simplePos x="0" y="0"/>
                <wp:positionH relativeFrom="column">
                  <wp:posOffset>-26670</wp:posOffset>
                </wp:positionH>
                <wp:positionV relativeFrom="paragraph">
                  <wp:posOffset>140970</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350F762" w14:textId="77777777" w:rsidR="00AF0AFB" w:rsidRPr="00B94B9C" w:rsidRDefault="00AF0AFB" w:rsidP="00AF0AFB">
                            <w:pPr>
                              <w:rPr>
                                <w:lang w:val="en-US"/>
                              </w:rPr>
                            </w:pPr>
                            <w:r w:rsidRPr="008E7494">
                              <w:rPr>
                                <w:noProof/>
                                <w:lang w:val="en-GB"/>
                              </w:rPr>
                              <w:drawing>
                                <wp:inline distT="0" distB="0" distL="0" distR="0" wp14:anchorId="53C63BB5" wp14:editId="76ED607F">
                                  <wp:extent cx="2077720" cy="1201413"/>
                                  <wp:effectExtent l="0" t="0" r="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77720" cy="1201413"/>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A3F579" id="Text Box 2" o:spid="_x0000_s1030" type="#_x0000_t202" style="position:absolute;left:0;text-align:left;margin-left:-2.1pt;margin-top:11.1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">
                <v:textbox style="mso-fit-shape-to-text:t">
                  <w:txbxContent>
                    <w:p w14:paraId="2350F762" w14:textId="77777777" w:rsidR="00AF0AFB" w:rsidRPr="00B94B9C" w:rsidRDefault="00AF0AFB" w:rsidP="00AF0AFB">
                      <w:pPr>
                        <w:rPr>
                          <w:lang w:val="en-US"/>
                        </w:rPr>
                      </w:pPr>
                      <w:r w:rsidRPr="008E7494">
                        <w:rPr>
                          <w:noProof/>
                          <w:lang w:val="en-GB"/>
                        </w:rPr>
                        <w:drawing>
                          <wp:inline distT="0" distB="0" distL="0" distR="0" wp14:anchorId="53C63BB5" wp14:editId="76ED607F">
                            <wp:extent cx="2077720" cy="1201413"/>
                            <wp:effectExtent l="0" t="0" r="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77720" cy="1201413"/>
                                    </a:xfrm>
                                    <a:prstGeom prst="rect">
                                      <a:avLst/>
                                    </a:prstGeom>
                                  </pic:spPr>
                                </pic:pic>
                              </a:graphicData>
                            </a:graphic>
                          </wp:inline>
                        </w:drawing>
                      </w:r>
                    </w:p>
                  </w:txbxContent>
                </v:textbox>
                <w10:wrap type="square"/>
              </v:shape>
            </w:pict>
          </mc:Fallback>
        </mc:AlternateContent>
      </w:r>
      <w:r w:rsidRPr="00AF0AFB">
        <w:rPr>
          <w:lang w:val="en-US"/>
        </w:rPr>
        <w:t xml:space="preserve">Two pink tabs follow the blue welcoming banner (circled in red). When opening the tool, the user is by default directed to the consumption-based emissions tab. By clicking on the “Territorial emissions” tab, the focus of emissions is changed to a territorial approach. The components below the tabs are updated whenever a different emissions’ focus is selected. </w:t>
      </w:r>
    </w:p>
    <w:p w14:paraId="482E3F74" w14:textId="77777777" w:rsidR="00AF0AFB" w:rsidRDefault="00AF0AFB" w:rsidP="00E20E52">
      <w:pPr>
        <w:spacing w:after="0" w:line="360" w:lineRule="auto"/>
        <w:contextualSpacing/>
        <w:jc w:val="both"/>
        <w:rPr>
          <w:lang w:val="en-US"/>
        </w:rPr>
      </w:pPr>
    </w:p>
    <w:p w14:paraId="2AAD6F4B" w14:textId="34B702DA" w:rsidR="00DD59A6" w:rsidRDefault="00DD59A6" w:rsidP="00E20E52">
      <w:pPr>
        <w:spacing w:after="0" w:line="360" w:lineRule="auto"/>
        <w:contextualSpacing/>
        <w:jc w:val="both"/>
        <w:rPr>
          <w:lang w:val="en-US"/>
        </w:rPr>
      </w:pPr>
      <w:r>
        <w:rPr>
          <w:lang w:val="en-US"/>
        </w:rPr>
        <w:t xml:space="preserve">To see the next output the user must indicate in the drop down-menu </w:t>
      </w:r>
      <w:r w:rsidR="00171066">
        <w:rPr>
          <w:lang w:val="en-US"/>
        </w:rPr>
        <w:t>either</w:t>
      </w:r>
      <w:r>
        <w:rPr>
          <w:lang w:val="en-US"/>
        </w:rPr>
        <w:t xml:space="preserve"> t</w:t>
      </w:r>
      <w:r w:rsidR="00171066">
        <w:rPr>
          <w:lang w:val="en-US"/>
        </w:rPr>
        <w:t xml:space="preserve">otal </w:t>
      </w:r>
      <w:r>
        <w:rPr>
          <w:lang w:val="en-US"/>
        </w:rPr>
        <w:t>emissions</w:t>
      </w:r>
      <w:r w:rsidR="00171066">
        <w:rPr>
          <w:lang w:val="en-US"/>
        </w:rPr>
        <w:t xml:space="preserve"> </w:t>
      </w:r>
      <w:r>
        <w:rPr>
          <w:lang w:val="en-US"/>
        </w:rPr>
        <w:t>or per capita</w:t>
      </w:r>
      <w:r w:rsidR="00171066">
        <w:rPr>
          <w:lang w:val="en-US"/>
        </w:rPr>
        <w:t xml:space="preserve"> emissions</w:t>
      </w:r>
      <w:r>
        <w:rPr>
          <w:lang w:val="en-US"/>
        </w:rPr>
        <w:t xml:space="preserve">. </w:t>
      </w:r>
      <w:r w:rsidR="00171066">
        <w:rPr>
          <w:lang w:val="en-US"/>
        </w:rPr>
        <w:t>A</w:t>
      </w:r>
      <w:r>
        <w:rPr>
          <w:lang w:val="en-US"/>
        </w:rPr>
        <w:t xml:space="preserve"> chart will display current</w:t>
      </w:r>
      <w:r w:rsidR="00171066">
        <w:rPr>
          <w:lang w:val="en-US"/>
        </w:rPr>
        <w:t xml:space="preserve"> emission</w:t>
      </w:r>
      <w:r>
        <w:rPr>
          <w:lang w:val="en-US"/>
        </w:rPr>
        <w:t xml:space="preserve"> projection</w:t>
      </w:r>
      <w:r w:rsidR="00171066">
        <w:rPr>
          <w:lang w:val="en-US"/>
        </w:rPr>
        <w:t>s to 2030</w:t>
      </w:r>
      <w:r>
        <w:rPr>
          <w:lang w:val="en-US"/>
        </w:rPr>
        <w:t xml:space="preserve">, reflecting population growth and the chosen scenario. </w:t>
      </w:r>
    </w:p>
    <w:p w14:paraId="448011FB" w14:textId="77777777" w:rsidR="00A70793" w:rsidRDefault="00A70793" w:rsidP="00E20E52">
      <w:pPr>
        <w:spacing w:after="0" w:line="360" w:lineRule="auto"/>
        <w:contextualSpacing/>
        <w:jc w:val="both"/>
        <w:rPr>
          <w:lang w:val="en-US"/>
        </w:rPr>
      </w:pPr>
    </w:p>
    <w:p w14:paraId="0A3C8451" w14:textId="4EACD1CB" w:rsidR="00A70793" w:rsidRDefault="00A70793" w:rsidP="00E20E52">
      <w:pPr>
        <w:spacing w:after="0" w:line="360" w:lineRule="auto"/>
        <w:contextualSpacing/>
        <w:jc w:val="both"/>
        <w:rPr>
          <w:lang w:val="en-US"/>
        </w:rPr>
      </w:pPr>
      <w:r>
        <w:rPr>
          <w:noProof/>
          <w:lang w:val="en-US"/>
        </w:rPr>
        <w:drawing>
          <wp:inline distT="0" distB="0" distL="0" distR="0" wp14:anchorId="56F945B1" wp14:editId="352AB56D">
            <wp:extent cx="5731510" cy="2683510"/>
            <wp:effectExtent l="0" t="0" r="2540" b="2540"/>
            <wp:docPr id="1307177398" name="Picture 13071773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7739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778EB06A" w14:textId="082C63D3" w:rsidR="00DD59A6" w:rsidRPr="00AF0AFB" w:rsidRDefault="00DD59A6" w:rsidP="00E20E52">
      <w:pPr>
        <w:spacing w:after="0" w:line="360" w:lineRule="auto"/>
        <w:contextualSpacing/>
        <w:jc w:val="both"/>
        <w:rPr>
          <w:lang w:val="en-US"/>
        </w:rPr>
      </w:pPr>
    </w:p>
    <w:p w14:paraId="0DD6562D" w14:textId="7DFCBFA9" w:rsidR="00AF0AFB" w:rsidRDefault="003A1A12" w:rsidP="00E20E52">
      <w:pPr>
        <w:spacing w:after="0" w:line="360" w:lineRule="auto"/>
        <w:contextualSpacing/>
        <w:jc w:val="both"/>
        <w:rPr>
          <w:lang w:val="en-US"/>
        </w:rPr>
      </w:pPr>
      <w:r>
        <w:rPr>
          <w:lang w:val="en-US"/>
        </w:rPr>
        <w:t xml:space="preserve">On the </w:t>
      </w:r>
      <w:r w:rsidR="00B0160C">
        <w:rPr>
          <w:lang w:val="en-US"/>
        </w:rPr>
        <w:t>left-hand</w:t>
      </w:r>
      <w:r>
        <w:rPr>
          <w:lang w:val="en-US"/>
        </w:rPr>
        <w:t xml:space="preserve"> side, the user can then select and pull levers across a series of sectors. A second chart shows how emissions are impacted by the levers. The aim is for this blue line to reach below zero by 2030 for the Viable Cities goal to be achieved. </w:t>
      </w:r>
      <w:r w:rsidR="00AF0AFB" w:rsidRPr="00AF0AFB">
        <w:rPr>
          <w:lang w:val="en-US"/>
        </w:rPr>
        <w:t>For instance, by clicking on the “</w:t>
      </w:r>
      <w:r w:rsidR="00DD59A6">
        <w:rPr>
          <w:lang w:val="en-US"/>
        </w:rPr>
        <w:t>Transport</w:t>
      </w:r>
      <w:r w:rsidR="00AF0AFB" w:rsidRPr="00AF0AFB">
        <w:rPr>
          <w:lang w:val="en-US"/>
        </w:rPr>
        <w:t>”</w:t>
      </w:r>
      <w:r w:rsidR="00DD59A6">
        <w:rPr>
          <w:lang w:val="en-US"/>
        </w:rPr>
        <w:t xml:space="preserve"> and the “Cars”</w:t>
      </w:r>
      <w:r w:rsidR="00AF0AFB" w:rsidRPr="00AF0AFB">
        <w:rPr>
          <w:lang w:val="en-US"/>
        </w:rPr>
        <w:t xml:space="preserve"> button, the user can set the </w:t>
      </w:r>
      <w:r w:rsidR="00DD59A6">
        <w:rPr>
          <w:lang w:val="en-US"/>
        </w:rPr>
        <w:t>share of electric cars by 2030</w:t>
      </w:r>
      <w:r w:rsidR="00AF0AFB" w:rsidRPr="00AF0AFB">
        <w:rPr>
          <w:lang w:val="en-US"/>
        </w:rPr>
        <w:t xml:space="preserve"> in the municipality. </w:t>
      </w:r>
      <w:r w:rsidR="00DD59A6">
        <w:rPr>
          <w:lang w:val="en-US"/>
        </w:rPr>
        <w:t xml:space="preserve">It is up to the user to make realistic </w:t>
      </w:r>
      <w:proofErr w:type="gramStart"/>
      <w:r w:rsidR="00DD59A6">
        <w:rPr>
          <w:lang w:val="en-US"/>
        </w:rPr>
        <w:t>scenarios,</w:t>
      </w:r>
      <w:proofErr w:type="gramEnd"/>
      <w:r w:rsidR="00DD59A6">
        <w:rPr>
          <w:lang w:val="en-US"/>
        </w:rPr>
        <w:t xml:space="preserve"> the model is only partly designed to limit unreasonable scenarios.</w:t>
      </w:r>
      <w:r w:rsidR="00AF0AFB" w:rsidRPr="00AF0AFB">
        <w:rPr>
          <w:b/>
          <w:bCs/>
          <w:lang w:val="en-US"/>
        </w:rPr>
        <w:t xml:space="preserve"> </w:t>
      </w:r>
      <w:r w:rsidR="00AF0AFB" w:rsidRPr="00AF0AFB">
        <w:rPr>
          <w:lang w:val="en-US"/>
        </w:rPr>
        <w:t xml:space="preserve">Clicking on </w:t>
      </w:r>
      <w:r w:rsidR="00836526">
        <w:rPr>
          <w:lang w:val="en-US"/>
        </w:rPr>
        <w:t>an</w:t>
      </w:r>
      <w:r w:rsidR="00AF0AFB" w:rsidRPr="00AF0AFB">
        <w:rPr>
          <w:lang w:val="en-US"/>
        </w:rPr>
        <w:t xml:space="preserve">other sector closes the collapse button that is currently open, if any, to save space for the graph. As the user begins to modify the sliders that are found under each climate action strategy button in the green vertical banner, the </w:t>
      </w:r>
      <w:r w:rsidR="00836526">
        <w:rPr>
          <w:lang w:val="en-US"/>
        </w:rPr>
        <w:t xml:space="preserve">bottom stacked bar chart </w:t>
      </w:r>
      <w:r w:rsidR="00AF0AFB" w:rsidRPr="00AF0AFB">
        <w:rPr>
          <w:lang w:val="en-US"/>
        </w:rPr>
        <w:t xml:space="preserve">changes, reflecting the impact of the selected measures. The </w:t>
      </w:r>
      <w:r w:rsidR="00836526">
        <w:rPr>
          <w:lang w:val="en-US"/>
        </w:rPr>
        <w:t xml:space="preserve">top bar </w:t>
      </w:r>
      <w:r w:rsidR="00AF0AFB" w:rsidRPr="00AF0AFB">
        <w:rPr>
          <w:lang w:val="en-US"/>
        </w:rPr>
        <w:t xml:space="preserve">chart labelled remains static as the benchmark emissions profile. </w:t>
      </w:r>
      <w:r w:rsidR="00836526">
        <w:rPr>
          <w:lang w:val="en-US"/>
        </w:rPr>
        <w:t>Please note that the units change for per capita and total municipality emissions</w:t>
      </w:r>
      <w:r w:rsidR="00AF0AFB" w:rsidRPr="00AF0AFB">
        <w:rPr>
          <w:lang w:val="en-US"/>
        </w:rPr>
        <w:t xml:space="preserve">. </w:t>
      </w:r>
      <w:r w:rsidR="00836526">
        <w:rPr>
          <w:lang w:val="en-US"/>
        </w:rPr>
        <w:t>Holding your mouse over the bar chart allows you to see the actual numbers behind the bars. Clicking a color in the legend also allows you to sort categories you are not interested in. If you want to save your scenario, please use the “Download data” tab in the bottom, to get all numbers in an excel format for your climate plans.</w:t>
      </w:r>
      <w:r w:rsidR="00AF027E">
        <w:rPr>
          <w:rStyle w:val="FootnoteReference"/>
          <w:lang w:val="en-US"/>
        </w:rPr>
        <w:footnoteReference w:id="9"/>
      </w:r>
    </w:p>
    <w:p w14:paraId="0BE19AC8" w14:textId="77777777" w:rsidR="00DD59A6" w:rsidRDefault="00DD59A6" w:rsidP="00E20E52">
      <w:pPr>
        <w:spacing w:after="0" w:line="360" w:lineRule="auto"/>
        <w:contextualSpacing/>
        <w:jc w:val="both"/>
        <w:rPr>
          <w:lang w:val="en-US"/>
        </w:rPr>
      </w:pPr>
    </w:p>
    <w:p w14:paraId="574B68CA" w14:textId="11F0F725" w:rsidR="00DD59A6" w:rsidRPr="00AF0AFB" w:rsidRDefault="00DD59A6" w:rsidP="00E20E52">
      <w:pPr>
        <w:spacing w:after="0" w:line="360" w:lineRule="auto"/>
        <w:contextualSpacing/>
        <w:jc w:val="both"/>
        <w:rPr>
          <w:lang w:val="en-US"/>
        </w:rPr>
      </w:pPr>
    </w:p>
    <w:p w14:paraId="72B4A255" w14:textId="77777777" w:rsidR="00AF0AFB" w:rsidRPr="00AF0AFB" w:rsidRDefault="00AF0AFB" w:rsidP="00E20E52">
      <w:pPr>
        <w:spacing w:after="0" w:line="360" w:lineRule="auto"/>
        <w:contextualSpacing/>
        <w:jc w:val="both"/>
        <w:rPr>
          <w:lang w:val="en-US"/>
        </w:rPr>
      </w:pPr>
    </w:p>
    <w:p w14:paraId="64405CA9" w14:textId="3F3DA35D" w:rsidR="00836526" w:rsidRDefault="00836526" w:rsidP="00E20E52">
      <w:pPr>
        <w:spacing w:after="0" w:line="360" w:lineRule="auto"/>
        <w:contextualSpacing/>
        <w:jc w:val="both"/>
        <w:rPr>
          <w:lang w:val="en-US"/>
        </w:rPr>
      </w:pPr>
      <w:r>
        <w:rPr>
          <w:lang w:val="en-US"/>
        </w:rPr>
        <w:t xml:space="preserve">There is an option to modify the input assumptions under “0. Your data”. If you want to overwrite any numbers, please change them under “user assumption” and please also add a comment or source under “user source” for us to verify. Currently this allows you to share data with us </w:t>
      </w:r>
      <w:r w:rsidR="0089123D">
        <w:rPr>
          <w:lang w:val="en-US"/>
        </w:rPr>
        <w:t xml:space="preserve">for </w:t>
      </w:r>
      <w:r>
        <w:rPr>
          <w:lang w:val="en-US"/>
        </w:rPr>
        <w:t>integrat</w:t>
      </w:r>
      <w:r w:rsidR="0089123D">
        <w:rPr>
          <w:lang w:val="en-US"/>
        </w:rPr>
        <w:t>ion</w:t>
      </w:r>
      <w:r>
        <w:rPr>
          <w:lang w:val="en-US"/>
        </w:rPr>
        <w:t xml:space="preserve"> into the dashboard</w:t>
      </w:r>
      <w:r w:rsidR="0089123D">
        <w:rPr>
          <w:lang w:val="en-US"/>
        </w:rPr>
        <w:t xml:space="preserve">. In the future, we will allow you to update </w:t>
      </w:r>
      <w:r>
        <w:rPr>
          <w:lang w:val="en-US"/>
        </w:rPr>
        <w:t>this data automatically in the scenarios you are working on.</w:t>
      </w:r>
    </w:p>
    <w:p w14:paraId="7205408B" w14:textId="77777777" w:rsidR="00836526" w:rsidRDefault="00836526" w:rsidP="00E20E52">
      <w:pPr>
        <w:spacing w:after="0" w:line="360" w:lineRule="auto"/>
        <w:contextualSpacing/>
        <w:jc w:val="both"/>
        <w:rPr>
          <w:lang w:val="en-US"/>
        </w:rPr>
      </w:pPr>
    </w:p>
    <w:p w14:paraId="23291EB0" w14:textId="7B014870" w:rsidR="00836526" w:rsidRDefault="00A93C39" w:rsidP="00E20E52">
      <w:pPr>
        <w:spacing w:after="0" w:line="360" w:lineRule="auto"/>
        <w:contextualSpacing/>
        <w:jc w:val="both"/>
        <w:rPr>
          <w:lang w:val="en-US"/>
        </w:rPr>
      </w:pPr>
      <w:r w:rsidRPr="00AF0AFB">
        <w:rPr>
          <w:rStyle w:val="hgkelc"/>
          <w:noProof/>
          <w:lang w:val="en-US"/>
        </w:rPr>
        <mc:AlternateContent>
          <mc:Choice Requires="wps">
            <w:drawing>
              <wp:anchor distT="45720" distB="45720" distL="114300" distR="114300" simplePos="0" relativeHeight="251658249" behindDoc="0" locked="0" layoutInCell="1" allowOverlap="1" wp14:anchorId="7B44DF0E" wp14:editId="18F88388">
                <wp:simplePos x="0" y="0"/>
                <wp:positionH relativeFrom="column">
                  <wp:posOffset>4142105</wp:posOffset>
                </wp:positionH>
                <wp:positionV relativeFrom="paragraph">
                  <wp:posOffset>3810</wp:posOffset>
                </wp:positionV>
                <wp:extent cx="1838325" cy="1526540"/>
                <wp:effectExtent l="0" t="0" r="28575" b="16510"/>
                <wp:wrapSquare wrapText="bothSides"/>
                <wp:docPr id="546618206" name="Text Box 546618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526540"/>
                        </a:xfrm>
                        <a:prstGeom prst="rect">
                          <a:avLst/>
                        </a:prstGeom>
                        <a:solidFill>
                          <a:srgbClr val="FFFFFF"/>
                        </a:solidFill>
                        <a:ln w="9525">
                          <a:solidFill>
                            <a:srgbClr val="000000"/>
                          </a:solidFill>
                          <a:miter lim="800000"/>
                          <a:headEnd/>
                          <a:tailEnd/>
                        </a:ln>
                      </wps:spPr>
                      <wps:txbx>
                        <w:txbxContent>
                          <w:p w14:paraId="43E06857" w14:textId="3D448D2E" w:rsidR="00A93C39" w:rsidRPr="0099072B" w:rsidRDefault="00A93C39" w:rsidP="00A93C39">
                            <w:pPr>
                              <w:spacing w:after="0" w:line="240" w:lineRule="auto"/>
                              <w:contextualSpacing/>
                              <w:jc w:val="both"/>
                              <w:rPr>
                                <w:b/>
                                <w:bCs/>
                                <w:lang w:val="en-GB"/>
                              </w:rPr>
                            </w:pPr>
                            <w:r w:rsidRPr="0099072B">
                              <w:rPr>
                                <w:b/>
                                <w:bCs/>
                                <w:lang w:val="en-GB"/>
                              </w:rPr>
                              <w:t>Pro tip: adjust your levers</w:t>
                            </w:r>
                            <w:r w:rsidR="0099072B">
                              <w:rPr>
                                <w:b/>
                                <w:bCs/>
                                <w:lang w:val="en-GB"/>
                              </w:rPr>
                              <w:t>/climate actions</w:t>
                            </w:r>
                            <w:r w:rsidRPr="0099072B">
                              <w:rPr>
                                <w:b/>
                                <w:bCs/>
                                <w:lang w:val="en-GB"/>
                              </w:rPr>
                              <w:t xml:space="preserve"> </w:t>
                            </w:r>
                            <w:r w:rsidR="0043423E" w:rsidRPr="0099072B">
                              <w:rPr>
                                <w:b/>
                                <w:bCs/>
                                <w:lang w:val="en-GB"/>
                              </w:rPr>
                              <w:t xml:space="preserve">until you are happy before </w:t>
                            </w:r>
                            <w:r w:rsidR="00967B92" w:rsidRPr="0099072B">
                              <w:rPr>
                                <w:b/>
                                <w:bCs/>
                                <w:lang w:val="en-GB"/>
                              </w:rPr>
                              <w:t xml:space="preserve">selecting the output type (in the drop-down menus) under “2. Economic Model” as this will speed </w:t>
                            </w:r>
                            <w:r w:rsidR="0099072B" w:rsidRPr="0099072B">
                              <w:rPr>
                                <w:b/>
                                <w:bCs/>
                                <w:lang w:val="en-GB"/>
                              </w:rPr>
                              <w:t>up the model slightly.</w:t>
                            </w:r>
                          </w:p>
                          <w:p w14:paraId="2A817634" w14:textId="46D9CDF0" w:rsidR="00A93C39" w:rsidRPr="0099072B" w:rsidRDefault="00A93C39" w:rsidP="00A93C39">
                            <w:pPr>
                              <w:spacing w:before="100" w:after="0" w:line="240" w:lineRule="auto"/>
                              <w:ind w:left="720" w:hanging="360"/>
                              <w:jc w:val="both"/>
                              <w:rPr>
                                <w:b/>
                                <w:bCs/>
                                <w:lang w:val="en-GB"/>
                              </w:rPr>
                            </w:pPr>
                            <w:r w:rsidRPr="0099072B">
                              <w:rPr>
                                <w:rStyle w:val="hgkelc"/>
                                <w:b/>
                                <w:bCs/>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4DF0E" id="Text Box 546618206" o:spid="_x0000_s1031" type="#_x0000_t202" style="position:absolute;left:0;text-align:left;margin-left:326.15pt;margin-top:.3pt;width:144.75pt;height:120.2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">
                <v:textbox>
                  <w:txbxContent>
                    <w:p w14:paraId="43E06857" w14:textId="3D448D2E" w:rsidR="00A93C39" w:rsidRPr="0099072B" w:rsidRDefault="00A93C39" w:rsidP="00A93C39">
                      <w:pPr>
                        <w:spacing w:after="0" w:line="240" w:lineRule="auto"/>
                        <w:contextualSpacing/>
                        <w:jc w:val="both"/>
                        <w:rPr>
                          <w:b/>
                          <w:bCs/>
                          <w:lang w:val="en-GB"/>
                        </w:rPr>
                      </w:pPr>
                      <w:r w:rsidRPr="0099072B">
                        <w:rPr>
                          <w:b/>
                          <w:bCs/>
                          <w:lang w:val="en-GB"/>
                        </w:rPr>
                        <w:t>Pro tip: adjust your levers</w:t>
                      </w:r>
                      <w:r w:rsidR="0099072B">
                        <w:rPr>
                          <w:b/>
                          <w:bCs/>
                          <w:lang w:val="en-GB"/>
                        </w:rPr>
                        <w:t>/climate actions</w:t>
                      </w:r>
                      <w:r w:rsidRPr="0099072B">
                        <w:rPr>
                          <w:b/>
                          <w:bCs/>
                          <w:lang w:val="en-GB"/>
                        </w:rPr>
                        <w:t xml:space="preserve"> </w:t>
                      </w:r>
                      <w:r w:rsidR="0043423E" w:rsidRPr="0099072B">
                        <w:rPr>
                          <w:b/>
                          <w:bCs/>
                          <w:lang w:val="en-GB"/>
                        </w:rPr>
                        <w:t xml:space="preserve">until you are happy before </w:t>
                      </w:r>
                      <w:r w:rsidR="00967B92" w:rsidRPr="0099072B">
                        <w:rPr>
                          <w:b/>
                          <w:bCs/>
                          <w:lang w:val="en-GB"/>
                        </w:rPr>
                        <w:t xml:space="preserve">selecting the output type (in the drop-down menus) under “2. Economic Model” as this will speed </w:t>
                      </w:r>
                      <w:r w:rsidR="0099072B" w:rsidRPr="0099072B">
                        <w:rPr>
                          <w:b/>
                          <w:bCs/>
                          <w:lang w:val="en-GB"/>
                        </w:rPr>
                        <w:t>up the model slightly.</w:t>
                      </w:r>
                    </w:p>
                    <w:p w14:paraId="2A817634" w14:textId="46D9CDF0" w:rsidR="00A93C39" w:rsidRPr="0099072B" w:rsidRDefault="00A93C39" w:rsidP="00A93C39">
                      <w:pPr>
                        <w:spacing w:before="100" w:after="0" w:line="240" w:lineRule="auto"/>
                        <w:ind w:left="720" w:hanging="360"/>
                        <w:jc w:val="both"/>
                        <w:rPr>
                          <w:b/>
                          <w:bCs/>
                          <w:lang w:val="en-GB"/>
                        </w:rPr>
                      </w:pPr>
                      <w:r w:rsidRPr="0099072B">
                        <w:rPr>
                          <w:rStyle w:val="hgkelc"/>
                          <w:b/>
                          <w:bCs/>
                          <w:lang w:val="en-GB"/>
                        </w:rPr>
                        <w:t xml:space="preserve"> </w:t>
                      </w:r>
                    </w:p>
                  </w:txbxContent>
                </v:textbox>
                <w10:wrap type="square"/>
              </v:shape>
            </w:pict>
          </mc:Fallback>
        </mc:AlternateContent>
      </w:r>
      <w:r w:rsidR="00836526">
        <w:rPr>
          <w:lang w:val="en-US"/>
        </w:rPr>
        <w:t xml:space="preserve">Lastly, under the “2. Economic model” sheet, you </w:t>
      </w:r>
      <w:r w:rsidR="0089123D">
        <w:rPr>
          <w:lang w:val="en-US"/>
        </w:rPr>
        <w:t xml:space="preserve">first </w:t>
      </w:r>
      <w:r w:rsidR="00836526">
        <w:rPr>
          <w:lang w:val="en-US"/>
        </w:rPr>
        <w:t xml:space="preserve">need to select if you want to display data per capita or total as well as for what year. Selecting total for the municipality and 2030 cumulative gives you the total costs from today to 2030. The graphs are split across actors (with a total banner to be added), and across the cost </w:t>
      </w:r>
      <w:proofErr w:type="gramStart"/>
      <w:r w:rsidR="00836526">
        <w:rPr>
          <w:lang w:val="en-US"/>
        </w:rPr>
        <w:t>types</w:t>
      </w:r>
      <w:proofErr w:type="gramEnd"/>
      <w:r w:rsidR="00836526">
        <w:rPr>
          <w:lang w:val="en-US"/>
        </w:rPr>
        <w:t xml:space="preserve"> CAPEX, OPEX, income and savings, with categories reflecting which sector the climate action is taken within.</w:t>
      </w:r>
    </w:p>
    <w:p w14:paraId="766EB853" w14:textId="77777777" w:rsidR="00836526" w:rsidRDefault="00836526" w:rsidP="00E20E52">
      <w:pPr>
        <w:spacing w:after="0" w:line="360" w:lineRule="auto"/>
        <w:contextualSpacing/>
        <w:jc w:val="both"/>
        <w:rPr>
          <w:lang w:val="en-US"/>
        </w:rPr>
      </w:pPr>
    </w:p>
    <w:p w14:paraId="3ADBB288" w14:textId="7E408EE8" w:rsidR="00836526" w:rsidRDefault="00836526" w:rsidP="00E20E52">
      <w:pPr>
        <w:spacing w:after="0" w:line="360" w:lineRule="auto"/>
        <w:contextualSpacing/>
        <w:jc w:val="both"/>
        <w:rPr>
          <w:lang w:val="en-US"/>
        </w:rPr>
      </w:pPr>
    </w:p>
    <w:p w14:paraId="2D309547" w14:textId="022EDA7B" w:rsidR="00836526" w:rsidRDefault="00836526" w:rsidP="00E20E52">
      <w:pPr>
        <w:spacing w:after="0" w:line="360" w:lineRule="auto"/>
        <w:contextualSpacing/>
        <w:jc w:val="both"/>
        <w:rPr>
          <w:lang w:val="en-US"/>
        </w:rPr>
      </w:pPr>
      <w:r w:rsidRPr="00836526">
        <w:rPr>
          <w:noProof/>
          <w:lang w:val="en-US"/>
        </w:rPr>
        <w:drawing>
          <wp:inline distT="0" distB="0" distL="0" distR="0" wp14:anchorId="5A80592E" wp14:editId="5335DE15">
            <wp:extent cx="5731510" cy="2609850"/>
            <wp:effectExtent l="19050" t="19050" r="21590" b="19050"/>
            <wp:docPr id="2136926081" name="Picture 21369260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6081" name="Picture 1" descr="A screenshot of a computer&#10;&#10;Description automatically generated"/>
                    <pic:cNvPicPr/>
                  </pic:nvPicPr>
                  <pic:blipFill>
                    <a:blip r:embed="rId24"/>
                    <a:stretch>
                      <a:fillRect/>
                    </a:stretch>
                  </pic:blipFill>
                  <pic:spPr>
                    <a:xfrm>
                      <a:off x="0" y="0"/>
                      <a:ext cx="5731510" cy="2609850"/>
                    </a:xfrm>
                    <a:prstGeom prst="rect">
                      <a:avLst/>
                    </a:prstGeom>
                    <a:ln>
                      <a:solidFill>
                        <a:schemeClr val="tx1"/>
                      </a:solidFill>
                    </a:ln>
                  </pic:spPr>
                </pic:pic>
              </a:graphicData>
            </a:graphic>
          </wp:inline>
        </w:drawing>
      </w:r>
    </w:p>
    <w:p w14:paraId="1D06947A" w14:textId="77777777" w:rsidR="00BC18C6" w:rsidRDefault="00BC18C6" w:rsidP="00BC18C6">
      <w:pPr>
        <w:spacing w:after="0" w:line="360" w:lineRule="auto"/>
        <w:contextualSpacing/>
        <w:jc w:val="both"/>
        <w:rPr>
          <w:lang w:val="en-US"/>
        </w:rPr>
      </w:pPr>
      <w:r>
        <w:rPr>
          <w:lang w:val="en-US"/>
        </w:rPr>
        <w:t>Below this chart, it is also possible to find the net present value of the investments. Please note that these do not contain co-impacts. The NPV can be calculated for different interest rates, which can be selected together with if the total cumulative or the annual NPV is desired.</w:t>
      </w:r>
    </w:p>
    <w:p w14:paraId="5B7E0DE4" w14:textId="77777777" w:rsidR="00235959" w:rsidRDefault="00235959" w:rsidP="00BC18C6">
      <w:pPr>
        <w:spacing w:after="0" w:line="360" w:lineRule="auto"/>
        <w:contextualSpacing/>
        <w:jc w:val="both"/>
        <w:rPr>
          <w:lang w:val="en-US"/>
        </w:rPr>
      </w:pPr>
    </w:p>
    <w:p w14:paraId="0F6BEC60" w14:textId="59D439DD" w:rsidR="00AF0AFB" w:rsidRPr="00AF0AFB" w:rsidRDefault="008158F9" w:rsidP="00E20E52">
      <w:pPr>
        <w:spacing w:after="0" w:line="360" w:lineRule="auto"/>
        <w:contextualSpacing/>
        <w:jc w:val="both"/>
        <w:rPr>
          <w:lang w:val="en-US"/>
        </w:rPr>
      </w:pPr>
      <w:r>
        <w:rPr>
          <w:lang w:val="en-US"/>
        </w:rPr>
        <w:t>Even further down on the same page, there is a beta version of co-impacts from climate action quantified. The calculations behind these are still under revision</w:t>
      </w:r>
      <w:r w:rsidR="00287637">
        <w:rPr>
          <w:lang w:val="en-US"/>
        </w:rPr>
        <w:t xml:space="preserve">, but </w:t>
      </w:r>
      <w:proofErr w:type="gramStart"/>
      <w:r w:rsidR="00287637">
        <w:rPr>
          <w:lang w:val="en-US"/>
        </w:rPr>
        <w:t>aims</w:t>
      </w:r>
      <w:proofErr w:type="gramEnd"/>
      <w:r w:rsidR="00287637">
        <w:rPr>
          <w:lang w:val="en-US"/>
        </w:rPr>
        <w:t xml:space="preserve"> to give an illustration to </w:t>
      </w:r>
      <w:r w:rsidR="00C748E9">
        <w:rPr>
          <w:lang w:val="en-US"/>
        </w:rPr>
        <w:t xml:space="preserve">the potential monetary benefits from taking climate action </w:t>
      </w:r>
      <w:r w:rsidR="00EE3F72">
        <w:rPr>
          <w:lang w:val="en-US"/>
        </w:rPr>
        <w:t xml:space="preserve">in terms of </w:t>
      </w:r>
      <w:proofErr w:type="gramStart"/>
      <w:r w:rsidR="00EE3F72">
        <w:rPr>
          <w:lang w:val="en-US"/>
        </w:rPr>
        <w:t>e.g.</w:t>
      </w:r>
      <w:proofErr w:type="gramEnd"/>
      <w:r w:rsidR="00EE3F72">
        <w:rPr>
          <w:lang w:val="en-US"/>
        </w:rPr>
        <w:t xml:space="preserve"> improved health outcomes due to lower levels of pollution.</w:t>
      </w:r>
    </w:p>
    <w:p w14:paraId="59CCF6CA" w14:textId="301CA4DC" w:rsidR="00A922B3" w:rsidRPr="00A922B3" w:rsidRDefault="00A922B3" w:rsidP="00E20E52">
      <w:pPr>
        <w:spacing w:after="0" w:line="360" w:lineRule="auto"/>
        <w:contextualSpacing/>
        <w:jc w:val="both"/>
        <w:rPr>
          <w:b/>
          <w:bCs/>
          <w:sz w:val="24"/>
          <w:szCs w:val="26"/>
          <w:lang w:val="en-US"/>
        </w:rPr>
      </w:pPr>
      <w:r w:rsidRPr="00A922B3">
        <w:rPr>
          <w:b/>
          <w:bCs/>
          <w:sz w:val="24"/>
          <w:szCs w:val="26"/>
          <w:lang w:val="en-US"/>
        </w:rPr>
        <w:t>User guide for consumption</w:t>
      </w:r>
      <w:r>
        <w:rPr>
          <w:b/>
          <w:bCs/>
          <w:sz w:val="24"/>
          <w:szCs w:val="26"/>
          <w:lang w:val="en-US"/>
        </w:rPr>
        <w:t>-</w:t>
      </w:r>
      <w:r w:rsidRPr="00A922B3">
        <w:rPr>
          <w:b/>
          <w:bCs/>
          <w:sz w:val="24"/>
          <w:szCs w:val="26"/>
          <w:lang w:val="en-US"/>
        </w:rPr>
        <w:t>based emissions</w:t>
      </w:r>
    </w:p>
    <w:p w14:paraId="66201079" w14:textId="7C402DDB" w:rsidR="004E7236" w:rsidRDefault="004E7236" w:rsidP="00E20E52">
      <w:pPr>
        <w:spacing w:after="0" w:line="360" w:lineRule="auto"/>
        <w:contextualSpacing/>
        <w:jc w:val="both"/>
        <w:rPr>
          <w:lang w:val="en-US"/>
        </w:rPr>
      </w:pPr>
      <w:r>
        <w:rPr>
          <w:lang w:val="en-US"/>
        </w:rPr>
        <w:t>We have not updated the consumption-based emissions methodology or visualization since the first model release in 2022.</w:t>
      </w:r>
    </w:p>
    <w:p w14:paraId="19CB6CDC" w14:textId="77777777" w:rsidR="004E7236" w:rsidRDefault="004E7236" w:rsidP="00E20E52">
      <w:pPr>
        <w:spacing w:after="0" w:line="360" w:lineRule="auto"/>
        <w:contextualSpacing/>
        <w:jc w:val="both"/>
        <w:rPr>
          <w:lang w:val="en-US"/>
        </w:rPr>
      </w:pPr>
    </w:p>
    <w:p w14:paraId="2C3962FA" w14:textId="75695CF5" w:rsidR="00A922B3" w:rsidRPr="00AF0AFB" w:rsidRDefault="00A922B3" w:rsidP="00E20E52">
      <w:pPr>
        <w:spacing w:after="0" w:line="360" w:lineRule="auto"/>
        <w:contextualSpacing/>
        <w:jc w:val="both"/>
        <w:rPr>
          <w:lang w:val="en-US"/>
        </w:rPr>
      </w:pPr>
      <w:r w:rsidRPr="00AF0AFB">
        <w:rPr>
          <w:noProof/>
          <w:lang w:val="en-US"/>
        </w:rPr>
        <mc:AlternateContent>
          <mc:Choice Requires="wps">
            <w:drawing>
              <wp:anchor distT="45720" distB="45720" distL="114300" distR="114300" simplePos="0" relativeHeight="251658248" behindDoc="0" locked="0" layoutInCell="1" allowOverlap="1" wp14:anchorId="45BB296B" wp14:editId="3830CCE2">
                <wp:simplePos x="0" y="0"/>
                <wp:positionH relativeFrom="column">
                  <wp:posOffset>3072316</wp:posOffset>
                </wp:positionH>
                <wp:positionV relativeFrom="paragraph">
                  <wp:posOffset>629813</wp:posOffset>
                </wp:positionV>
                <wp:extent cx="2694940" cy="1685290"/>
                <wp:effectExtent l="0" t="0" r="10160" b="1016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685290"/>
                        </a:xfrm>
                        <a:prstGeom prst="rect">
                          <a:avLst/>
                        </a:prstGeom>
                        <a:solidFill>
                          <a:srgbClr val="FFFFFF"/>
                        </a:solidFill>
                        <a:ln w="9525">
                          <a:solidFill>
                            <a:srgbClr val="000000"/>
                          </a:solidFill>
                          <a:miter lim="800000"/>
                          <a:headEnd/>
                          <a:tailEnd/>
                        </a:ln>
                      </wps:spPr>
                      <wps:txbx>
                        <w:txbxContent>
                          <w:p w14:paraId="1FB8167C" w14:textId="77777777" w:rsidR="00A922B3" w:rsidRPr="00F62505" w:rsidRDefault="00A922B3" w:rsidP="00A922B3">
                            <w:pPr>
                              <w:rPr>
                                <w:lang w:val="en-US"/>
                              </w:rPr>
                            </w:pPr>
                            <w:r>
                              <w:rPr>
                                <w:noProof/>
                              </w:rPr>
                              <w:drawing>
                                <wp:inline distT="0" distB="0" distL="0" distR="0" wp14:anchorId="74434459" wp14:editId="53A1F81A">
                                  <wp:extent cx="2638195" cy="1479550"/>
                                  <wp:effectExtent l="0" t="0" r="0" b="635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1648" cy="14814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B296B" id="Text Box 30" o:spid="_x0000_s1032" type="#_x0000_t202" style="position:absolute;left:0;text-align:left;margin-left:241.9pt;margin-top:49.6pt;width:212.2pt;height:132.7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">
                <v:textbox>
                  <w:txbxContent>
                    <w:p w14:paraId="1FB8167C" w14:textId="77777777" w:rsidR="00A922B3" w:rsidRPr="00F62505" w:rsidRDefault="00A922B3" w:rsidP="00A922B3">
                      <w:pPr>
                        <w:rPr>
                          <w:lang w:val="en-US"/>
                        </w:rPr>
                      </w:pPr>
                      <w:r>
                        <w:rPr>
                          <w:noProof/>
                        </w:rPr>
                        <w:drawing>
                          <wp:inline distT="0" distB="0" distL="0" distR="0" wp14:anchorId="74434459" wp14:editId="53A1F81A">
                            <wp:extent cx="2638195" cy="1479550"/>
                            <wp:effectExtent l="0" t="0" r="0" b="635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1648" cy="1481486"/>
                                    </a:xfrm>
                                    <a:prstGeom prst="rect">
                                      <a:avLst/>
                                    </a:prstGeom>
                                  </pic:spPr>
                                </pic:pic>
                              </a:graphicData>
                            </a:graphic>
                          </wp:inline>
                        </w:drawing>
                      </w:r>
                    </w:p>
                  </w:txbxContent>
                </v:textbox>
                <w10:wrap type="square"/>
              </v:shape>
            </w:pict>
          </mc:Fallback>
        </mc:AlternateContent>
      </w:r>
      <w:r w:rsidRPr="00AF0AFB">
        <w:rPr>
          <w:lang w:val="en-US"/>
        </w:rPr>
        <w:t>The orange banner named “Emissions” contains two pie charts: the one on the left represents the current emissions per capita in the selected municipality; and the one on the right represents the forecasted emissions in 2030. These are either the BAU forecast; an increased emissions per capita forecast; and a decreased emissions forecast (see section 2.3 for more information). Hovering over each of the pieces that compose the pie, a pop-up message will appear showing the share of emissions coming from that specific sector. For instance, in Stockholm the air transport sector accounts for about 24.3% of the overall consumption-based emissions (household level only).</w:t>
      </w:r>
      <w:r w:rsidRPr="00AF0AFB">
        <w:rPr>
          <w:noProof/>
          <w:lang w:val="en-US"/>
        </w:rPr>
        <w:t xml:space="preserve"> </w:t>
      </w:r>
    </w:p>
    <w:p w14:paraId="3096DE5F" w14:textId="77777777" w:rsidR="00A922B3" w:rsidRPr="00AF0AFB" w:rsidRDefault="00A922B3" w:rsidP="00E20E52">
      <w:pPr>
        <w:spacing w:after="0" w:line="360" w:lineRule="auto"/>
        <w:contextualSpacing/>
        <w:jc w:val="both"/>
        <w:rPr>
          <w:lang w:val="en-US"/>
        </w:rPr>
      </w:pPr>
    </w:p>
    <w:p w14:paraId="26DDBC47" w14:textId="0E4D35D7" w:rsidR="00A922B3" w:rsidRPr="00AF0AFB" w:rsidRDefault="00A922B3" w:rsidP="00E20E52">
      <w:pPr>
        <w:spacing w:after="0" w:line="360" w:lineRule="auto"/>
        <w:contextualSpacing/>
        <w:jc w:val="both"/>
        <w:rPr>
          <w:lang w:val="en-US"/>
        </w:rPr>
      </w:pPr>
      <w:r w:rsidRPr="00AF0AFB">
        <w:rPr>
          <w:lang w:val="en-US"/>
        </w:rPr>
        <w:t xml:space="preserve">Next, the user can play with different climate action strategies leading to different measures to </w:t>
      </w:r>
      <w:proofErr w:type="gramStart"/>
      <w:r w:rsidRPr="00AF0AFB">
        <w:rPr>
          <w:lang w:val="en-US"/>
        </w:rPr>
        <w:t>considered</w:t>
      </w:r>
      <w:proofErr w:type="gramEnd"/>
      <w:r w:rsidRPr="00AF0AFB">
        <w:rPr>
          <w:lang w:val="en-US"/>
        </w:rPr>
        <w:t xml:space="preserve">. By clicking on any of the sectors in the section on the left (the lateral green banner right under the pink tabs), the user can explore climate action strategies. For instance, by clicking on the “Food” button, the user can set the dietary mix in the municipality. </w:t>
      </w:r>
      <w:r w:rsidRPr="00A922B3">
        <w:rPr>
          <w:lang w:val="en-US"/>
        </w:rPr>
        <w:t xml:space="preserve">Please make </w:t>
      </w:r>
      <w:proofErr w:type="gramStart"/>
      <w:r w:rsidRPr="00A922B3">
        <w:rPr>
          <w:lang w:val="en-US"/>
        </w:rPr>
        <w:t>a reasonable</w:t>
      </w:r>
      <w:proofErr w:type="gramEnd"/>
      <w:r w:rsidRPr="00A922B3">
        <w:rPr>
          <w:lang w:val="en-US"/>
        </w:rPr>
        <w:t xml:space="preserve"> use of the strategy mixes, i.e., make sure that the sum of the underlying assets does not cross the 100% threshold. The model still returns a result if you have 100% of the buses running on electricity and 100% of the buses running on HVO. However, this would be unfeasible in real life. The same reasoning applies to all the measures in other sectors.</w:t>
      </w:r>
      <w:r w:rsidRPr="00AF0AFB">
        <w:rPr>
          <w:b/>
          <w:bCs/>
          <w:lang w:val="en-US"/>
        </w:rPr>
        <w:t xml:space="preserve"> </w:t>
      </w:r>
      <w:r w:rsidRPr="00AF0AFB">
        <w:rPr>
          <w:lang w:val="en-US"/>
        </w:rPr>
        <w:t xml:space="preserve">Clicking on other sectors closes the collapse button that is currently open, if any, to save space for the graph. </w:t>
      </w:r>
      <w:r w:rsidRPr="00AF0AFB">
        <w:rPr>
          <w:b/>
          <w:bCs/>
          <w:noProof/>
          <w:lang w:val="en-US"/>
        </w:rPr>
        <mc:AlternateContent>
          <mc:Choice Requires="wps">
            <w:drawing>
              <wp:anchor distT="45720" distB="45720" distL="114300" distR="114300" simplePos="0" relativeHeight="251658247" behindDoc="0" locked="0" layoutInCell="1" allowOverlap="1" wp14:anchorId="4330B9DE" wp14:editId="3F57433A">
                <wp:simplePos x="0" y="0"/>
                <wp:positionH relativeFrom="column">
                  <wp:posOffset>3497580</wp:posOffset>
                </wp:positionH>
                <wp:positionV relativeFrom="paragraph">
                  <wp:posOffset>146685</wp:posOffset>
                </wp:positionV>
                <wp:extent cx="2360930" cy="1404620"/>
                <wp:effectExtent l="0" t="0" r="22860" b="1143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7B7DB56" w14:textId="77777777" w:rsidR="00A922B3" w:rsidRPr="00F60B2C" w:rsidRDefault="00A922B3" w:rsidP="00A922B3">
                            <w:pPr>
                              <w:rPr>
                                <w:lang w:val="en-US"/>
                              </w:rPr>
                            </w:pPr>
                            <w:r>
                              <w:rPr>
                                <w:noProof/>
                              </w:rPr>
                              <w:drawing>
                                <wp:inline distT="0" distB="0" distL="0" distR="0" wp14:anchorId="33661635" wp14:editId="6E6ED049">
                                  <wp:extent cx="2077720" cy="116713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7720" cy="11671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30B9DE" id="Text Box 19" o:spid="_x0000_s1033" type="#_x0000_t202" style="position:absolute;left:0;text-align:left;margin-left:275.4pt;margin-top:11.55pt;width:185.9pt;height:110.6pt;z-index:25165824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">
                <v:textbox style="mso-fit-shape-to-text:t">
                  <w:txbxContent>
                    <w:p w14:paraId="07B7DB56" w14:textId="77777777" w:rsidR="00A922B3" w:rsidRPr="00F60B2C" w:rsidRDefault="00A922B3" w:rsidP="00A922B3">
                      <w:pPr>
                        <w:rPr>
                          <w:lang w:val="en-US"/>
                        </w:rPr>
                      </w:pPr>
                      <w:r>
                        <w:rPr>
                          <w:noProof/>
                        </w:rPr>
                        <w:drawing>
                          <wp:inline distT="0" distB="0" distL="0" distR="0" wp14:anchorId="33661635" wp14:editId="6E6ED049">
                            <wp:extent cx="2077720" cy="116713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7720" cy="1167130"/>
                                    </a:xfrm>
                                    <a:prstGeom prst="rect">
                                      <a:avLst/>
                                    </a:prstGeom>
                                  </pic:spPr>
                                </pic:pic>
                              </a:graphicData>
                            </a:graphic>
                          </wp:inline>
                        </w:drawing>
                      </w:r>
                    </w:p>
                  </w:txbxContent>
                </v:textbox>
                <w10:wrap type="square"/>
              </v:shape>
            </w:pict>
          </mc:Fallback>
        </mc:AlternateContent>
      </w:r>
      <w:r w:rsidRPr="00AF0AFB">
        <w:rPr>
          <w:lang w:val="en-US"/>
        </w:rPr>
        <w:t xml:space="preserve">As the user begins to modify the sliders that are found under each climate action strategy button in the green vertical banner, the right pie chart, labelled “2030”, changes, reflecting the impact of the selected measures. The left pie chart labelled “2019”, remains static as the benchmark emissions profile. Every piece of the pie chart also shows the </w:t>
      </w:r>
      <w:proofErr w:type="gramStart"/>
      <w:r w:rsidRPr="00AF0AFB">
        <w:rPr>
          <w:lang w:val="en-US"/>
        </w:rPr>
        <w:t>amount</w:t>
      </w:r>
      <w:proofErr w:type="gramEnd"/>
      <w:r w:rsidRPr="00AF0AFB">
        <w:rPr>
          <w:lang w:val="en-US"/>
        </w:rPr>
        <w:t xml:space="preserve"> of per-capita annual Kg of CO2-eq. </w:t>
      </w:r>
    </w:p>
    <w:p w14:paraId="238CBA80" w14:textId="77777777" w:rsidR="00A922B3" w:rsidRPr="00AF0AFB" w:rsidRDefault="00A922B3" w:rsidP="00E20E52">
      <w:pPr>
        <w:spacing w:after="0" w:line="360" w:lineRule="auto"/>
        <w:contextualSpacing/>
        <w:jc w:val="both"/>
        <w:rPr>
          <w:lang w:val="en-US"/>
        </w:rPr>
      </w:pPr>
    </w:p>
    <w:p w14:paraId="68DB77A5" w14:textId="17E4F961" w:rsidR="00A922B3" w:rsidRPr="00AF0AFB" w:rsidRDefault="00A922B3" w:rsidP="00E20E52">
      <w:pPr>
        <w:spacing w:after="0" w:line="360" w:lineRule="auto"/>
        <w:contextualSpacing/>
        <w:jc w:val="both"/>
        <w:rPr>
          <w:lang w:val="en-US"/>
        </w:rPr>
      </w:pPr>
      <w:r w:rsidRPr="00AF0AFB">
        <w:rPr>
          <w:lang w:val="en-US"/>
        </w:rPr>
        <w:t xml:space="preserve">Under the pie charts, the investments are displayed. On the left is a dropdown menu where the user can select one of the seven relevant actors in the municipality (see section 2.2). The top graph represents the capital expenditure and the bottom one the operational expenditure. If no actor is selected, the CAPEX and OPEX are not visualized. There is also a “Total”, where CAPEX, or OPEX, are aggregated across all actors. The investments are broken down following the same categories identified for the emissions: the COICOP classification for the consumption-based emissions </w:t>
      </w:r>
      <w:r>
        <w:rPr>
          <w:lang w:val="en-US"/>
        </w:rPr>
        <w:t>(</w:t>
      </w:r>
      <w:r w:rsidRPr="00AF0AFB">
        <w:rPr>
          <w:lang w:val="en-US"/>
        </w:rPr>
        <w:t xml:space="preserve">and the </w:t>
      </w:r>
      <w:proofErr w:type="spellStart"/>
      <w:r w:rsidRPr="00AF0AFB">
        <w:rPr>
          <w:lang w:val="en-US"/>
        </w:rPr>
        <w:t>Naturvårdsverket’s</w:t>
      </w:r>
      <w:proofErr w:type="spellEnd"/>
      <w:r w:rsidRPr="00AF0AFB">
        <w:rPr>
          <w:lang w:val="en-US"/>
        </w:rPr>
        <w:t xml:space="preserve"> approach for territorial emissions</w:t>
      </w:r>
      <w:r>
        <w:rPr>
          <w:lang w:val="en-US"/>
        </w:rPr>
        <w:t>)</w:t>
      </w:r>
      <w:r w:rsidRPr="00AF0AFB">
        <w:rPr>
          <w:lang w:val="en-US"/>
        </w:rPr>
        <w:t xml:space="preserve">. </w:t>
      </w:r>
    </w:p>
    <w:p w14:paraId="4689E928" w14:textId="77777777" w:rsidR="00A922B3" w:rsidRPr="00AF0AFB" w:rsidRDefault="00A922B3" w:rsidP="00E20E52">
      <w:pPr>
        <w:spacing w:after="0" w:line="360" w:lineRule="auto"/>
        <w:contextualSpacing/>
        <w:jc w:val="both"/>
        <w:rPr>
          <w:lang w:val="en-US"/>
        </w:rPr>
      </w:pPr>
    </w:p>
    <w:p w14:paraId="4079E7A2" w14:textId="33C272CE" w:rsidR="00A922B3" w:rsidRDefault="00A922B3" w:rsidP="00E20E52">
      <w:pPr>
        <w:spacing w:after="0" w:line="360" w:lineRule="auto"/>
        <w:contextualSpacing/>
        <w:jc w:val="both"/>
        <w:rPr>
          <w:lang w:val="en-US"/>
        </w:rPr>
      </w:pPr>
      <w:r w:rsidRPr="00AF0AFB">
        <w:rPr>
          <w:lang w:val="en-US"/>
        </w:rPr>
        <w:t xml:space="preserve">As we have not been able to identify measures for some of the categories, no investment will be </w:t>
      </w:r>
      <w:proofErr w:type="gramStart"/>
      <w:r w:rsidRPr="00AF0AFB">
        <w:rPr>
          <w:lang w:val="en-US"/>
        </w:rPr>
        <w:t>shown</w:t>
      </w:r>
      <w:proofErr w:type="gramEnd"/>
      <w:r w:rsidRPr="00AF0AFB">
        <w:rPr>
          <w:lang w:val="en-US"/>
        </w:rPr>
        <w:t xml:space="preserve">. For example, as we did not identify climate action strategies for the health sector, no investment calculation is made. Behavioral change measures, which will reduce emissions, do not require any CAPEX investment. For changes in food consumption, we found no evidence that vegan or vegetarian diets are more priced differently than the current average Swedish diet. For a shift to public transport, abandoning one’s private vehicle does not require any CAPEX investment, yet does require the purchase of public transport tickets (OPEX). Additionally, some of the measures may require investment </w:t>
      </w:r>
      <w:proofErr w:type="gramStart"/>
      <w:r w:rsidRPr="00AF0AFB">
        <w:rPr>
          <w:lang w:val="en-US"/>
        </w:rPr>
        <w:t>for</w:t>
      </w:r>
      <w:proofErr w:type="gramEnd"/>
      <w:r w:rsidRPr="00AF0AFB">
        <w:rPr>
          <w:lang w:val="en-US"/>
        </w:rPr>
        <w:t xml:space="preserve"> one or several actors. For instance, when an electric vehicle is purchased, if the investment is made by a private citizen that is a landlord or a homeowner, the CAPEX will comprise the price of the electric vehicle and the price of the residential charging station. In addition, the municipality is required to provide a suitable public charging infrastructure network, so that a CAPEX investment is estimated for this actor too. When the private citizen decides to give up her private vehicle and switch to public transport, she will face no CAPEX investment, but the public transport company will have to account for this increase in demand by providing more buses. Box 1 presents an example.</w:t>
      </w:r>
    </w:p>
    <w:p w14:paraId="45B89172" w14:textId="77777777" w:rsidR="00A922B3" w:rsidRDefault="00A922B3" w:rsidP="00E20E52">
      <w:pPr>
        <w:spacing w:after="0" w:line="360" w:lineRule="auto"/>
        <w:contextualSpacing/>
        <w:jc w:val="both"/>
        <w:rPr>
          <w:lang w:val="en-US"/>
        </w:rPr>
      </w:pPr>
    </w:p>
    <w:p w14:paraId="76B22550" w14:textId="591DC6EE" w:rsidR="005914F8" w:rsidRPr="00AF0AFB" w:rsidRDefault="005914F8" w:rsidP="00E20E52">
      <w:pPr>
        <w:pStyle w:val="Heading2"/>
        <w:numPr>
          <w:ilvl w:val="1"/>
          <w:numId w:val="8"/>
        </w:numPr>
        <w:spacing w:before="0" w:line="360" w:lineRule="auto"/>
        <w:contextualSpacing/>
        <w:jc w:val="both"/>
        <w:rPr>
          <w:lang w:val="en-US"/>
        </w:rPr>
      </w:pPr>
      <w:bookmarkStart w:id="12" w:name="_Toc144478188"/>
      <w:r w:rsidRPr="005914F8">
        <w:rPr>
          <w:lang w:val="en-US"/>
        </w:rPr>
        <w:t>Example of analyses possible with the tool</w:t>
      </w:r>
      <w:bookmarkEnd w:id="12"/>
    </w:p>
    <w:p w14:paraId="67EFECE9" w14:textId="64275483" w:rsidR="00E35B6A" w:rsidRDefault="009A06E7" w:rsidP="00E20E52">
      <w:pPr>
        <w:spacing w:after="0" w:line="360" w:lineRule="auto"/>
        <w:contextualSpacing/>
        <w:jc w:val="both"/>
        <w:rPr>
          <w:lang w:val="en-US"/>
        </w:rPr>
      </w:pPr>
      <w:r>
        <w:rPr>
          <w:lang w:val="en-US"/>
        </w:rPr>
        <w:t>The model can be used to estimate emissions and costs across actors for various scenarios. It is important to clearly describe the scenarios and the model’s usefulness increases when comparing different scenarios with each other. The below list contains a few ideas for how to construct scenarios:</w:t>
      </w:r>
    </w:p>
    <w:p w14:paraId="794B75D6" w14:textId="7A6119D4" w:rsidR="009A06E7" w:rsidRDefault="009A06E7" w:rsidP="00E20E52">
      <w:pPr>
        <w:pStyle w:val="ListParagraph"/>
        <w:numPr>
          <w:ilvl w:val="0"/>
          <w:numId w:val="10"/>
        </w:numPr>
        <w:spacing w:after="0" w:line="360" w:lineRule="auto"/>
        <w:jc w:val="both"/>
        <w:rPr>
          <w:lang w:val="en-US"/>
        </w:rPr>
      </w:pPr>
      <w:r>
        <w:rPr>
          <w:lang w:val="en-US"/>
        </w:rPr>
        <w:t>What happens if no additional action is taken?</w:t>
      </w:r>
    </w:p>
    <w:p w14:paraId="0C64F46F" w14:textId="00582248" w:rsidR="009A06E7" w:rsidRDefault="009A06E7" w:rsidP="00E20E52">
      <w:pPr>
        <w:pStyle w:val="ListParagraph"/>
        <w:numPr>
          <w:ilvl w:val="1"/>
          <w:numId w:val="10"/>
        </w:numPr>
        <w:spacing w:after="0" w:line="360" w:lineRule="auto"/>
        <w:jc w:val="both"/>
        <w:rPr>
          <w:lang w:val="en-US"/>
        </w:rPr>
      </w:pPr>
      <w:proofErr w:type="gramStart"/>
      <w:r>
        <w:rPr>
          <w:lang w:val="en-US"/>
        </w:rPr>
        <w:t>E.g.</w:t>
      </w:r>
      <w:proofErr w:type="gramEnd"/>
      <w:r>
        <w:rPr>
          <w:lang w:val="en-US"/>
        </w:rPr>
        <w:t xml:space="preserve"> there will still be more electric cars in the car fleet, there may still be existing projects planned like the construction of a solar power park</w:t>
      </w:r>
    </w:p>
    <w:p w14:paraId="23DE7B25" w14:textId="61EA7396" w:rsidR="009A06E7" w:rsidRDefault="009A06E7" w:rsidP="00E20E52">
      <w:pPr>
        <w:pStyle w:val="ListParagraph"/>
        <w:numPr>
          <w:ilvl w:val="0"/>
          <w:numId w:val="10"/>
        </w:numPr>
        <w:spacing w:after="0" w:line="360" w:lineRule="auto"/>
        <w:jc w:val="both"/>
        <w:rPr>
          <w:lang w:val="en-US"/>
        </w:rPr>
      </w:pPr>
      <w:r>
        <w:rPr>
          <w:lang w:val="en-US"/>
        </w:rPr>
        <w:t>What happens if no additional action is taken locally?</w:t>
      </w:r>
    </w:p>
    <w:p w14:paraId="0D2B7DF4" w14:textId="116FF9A8" w:rsidR="009A06E7" w:rsidRDefault="009A06E7" w:rsidP="00E20E52">
      <w:pPr>
        <w:pStyle w:val="ListParagraph"/>
        <w:numPr>
          <w:ilvl w:val="1"/>
          <w:numId w:val="10"/>
        </w:numPr>
        <w:spacing w:after="0" w:line="360" w:lineRule="auto"/>
        <w:jc w:val="both"/>
        <w:rPr>
          <w:lang w:val="en-US"/>
        </w:rPr>
      </w:pPr>
      <w:r>
        <w:rPr>
          <w:lang w:val="en-US"/>
        </w:rPr>
        <w:t xml:space="preserve">Here the national and EU level forecast described above (in </w:t>
      </w:r>
      <w:hyperlink w:anchor="_The_forecasts_for" w:history="1">
        <w:r w:rsidRPr="009A06E7">
          <w:rPr>
            <w:rStyle w:val="Hyperlink"/>
            <w:lang w:val="en-US"/>
          </w:rPr>
          <w:t>Table 1</w:t>
        </w:r>
      </w:hyperlink>
      <w:r>
        <w:rPr>
          <w:lang w:val="en-US"/>
        </w:rPr>
        <w:t xml:space="preserve">) can be used to understand the costs of existing policies above the municipal </w:t>
      </w:r>
      <w:proofErr w:type="gramStart"/>
      <w:r>
        <w:rPr>
          <w:lang w:val="en-US"/>
        </w:rPr>
        <w:t>level</w:t>
      </w:r>
      <w:proofErr w:type="gramEnd"/>
    </w:p>
    <w:p w14:paraId="3B241F6A" w14:textId="6F96B45F" w:rsidR="009A06E7" w:rsidRDefault="009A06E7" w:rsidP="00E20E52">
      <w:pPr>
        <w:pStyle w:val="ListParagraph"/>
        <w:numPr>
          <w:ilvl w:val="1"/>
          <w:numId w:val="10"/>
        </w:numPr>
        <w:spacing w:after="0" w:line="360" w:lineRule="auto"/>
        <w:jc w:val="both"/>
        <w:rPr>
          <w:lang w:val="en-US"/>
        </w:rPr>
      </w:pPr>
      <w:r>
        <w:rPr>
          <w:lang w:val="en-US"/>
        </w:rPr>
        <w:t xml:space="preserve">Please note that many EU and national level policies allow flexibility for how targets can be reached. </w:t>
      </w:r>
      <w:proofErr w:type="gramStart"/>
      <w:r>
        <w:rPr>
          <w:lang w:val="en-US"/>
        </w:rPr>
        <w:t>E.g.</w:t>
      </w:r>
      <w:proofErr w:type="gramEnd"/>
      <w:r>
        <w:rPr>
          <w:lang w:val="en-US"/>
        </w:rPr>
        <w:t xml:space="preserve"> the reduction in transport emissions to comply with the EU ETS for buildings and road transport as well as the effort sharing regulation can be reached by e.g. reducing traffic and increasing the new sales of electric cars</w:t>
      </w:r>
    </w:p>
    <w:p w14:paraId="2C0C9424" w14:textId="49525B9F" w:rsidR="009A06E7" w:rsidRDefault="009A06E7" w:rsidP="00E20E52">
      <w:pPr>
        <w:pStyle w:val="ListParagraph"/>
        <w:numPr>
          <w:ilvl w:val="0"/>
          <w:numId w:val="10"/>
        </w:numPr>
        <w:spacing w:after="0" w:line="360" w:lineRule="auto"/>
        <w:jc w:val="both"/>
        <w:rPr>
          <w:lang w:val="en-US"/>
        </w:rPr>
      </w:pPr>
      <w:r>
        <w:rPr>
          <w:lang w:val="en-US"/>
        </w:rPr>
        <w:t xml:space="preserve">What is the best description of how </w:t>
      </w:r>
      <w:proofErr w:type="gramStart"/>
      <w:r>
        <w:rPr>
          <w:lang w:val="en-US"/>
        </w:rPr>
        <w:t>much</w:t>
      </w:r>
      <w:proofErr w:type="gramEnd"/>
      <w:r>
        <w:rPr>
          <w:lang w:val="en-US"/>
        </w:rPr>
        <w:t xml:space="preserve"> the different levers are pulled in our current plan?</w:t>
      </w:r>
    </w:p>
    <w:p w14:paraId="2A9BCD09" w14:textId="1F630828" w:rsidR="009A06E7" w:rsidRDefault="009A06E7" w:rsidP="00E20E52">
      <w:pPr>
        <w:pStyle w:val="ListParagraph"/>
        <w:numPr>
          <w:ilvl w:val="1"/>
          <w:numId w:val="10"/>
        </w:numPr>
        <w:spacing w:after="0" w:line="360" w:lineRule="auto"/>
        <w:jc w:val="both"/>
        <w:rPr>
          <w:lang w:val="en-US"/>
        </w:rPr>
      </w:pPr>
      <w:r>
        <w:rPr>
          <w:lang w:val="en-US"/>
        </w:rPr>
        <w:t xml:space="preserve">Interesting to analyze here is if the emissions reductions are sufficient to achieve the 2030 target of if additional </w:t>
      </w:r>
      <w:r w:rsidR="00FD249F">
        <w:rPr>
          <w:lang w:val="en-US"/>
        </w:rPr>
        <w:t xml:space="preserve">action is </w:t>
      </w:r>
      <w:proofErr w:type="gramStart"/>
      <w:r w:rsidR="00FD249F">
        <w:rPr>
          <w:lang w:val="en-US"/>
        </w:rPr>
        <w:t>needed</w:t>
      </w:r>
      <w:proofErr w:type="gramEnd"/>
    </w:p>
    <w:p w14:paraId="71CD464F" w14:textId="13661A1A" w:rsidR="00FD249F" w:rsidRDefault="00FD249F" w:rsidP="00E20E52">
      <w:pPr>
        <w:pStyle w:val="ListParagraph"/>
        <w:numPr>
          <w:ilvl w:val="0"/>
          <w:numId w:val="10"/>
        </w:numPr>
        <w:spacing w:after="0" w:line="360" w:lineRule="auto"/>
        <w:jc w:val="both"/>
        <w:rPr>
          <w:lang w:val="en-US"/>
        </w:rPr>
      </w:pPr>
      <w:r>
        <w:rPr>
          <w:lang w:val="en-US"/>
        </w:rPr>
        <w:t>What is our primary plan to reach our 2030 climate neutrality target?</w:t>
      </w:r>
    </w:p>
    <w:p w14:paraId="10C4F560" w14:textId="77777777" w:rsidR="00FD249F" w:rsidRDefault="00FD249F" w:rsidP="00E20E52">
      <w:pPr>
        <w:pStyle w:val="ListParagraph"/>
        <w:numPr>
          <w:ilvl w:val="1"/>
          <w:numId w:val="10"/>
        </w:numPr>
        <w:spacing w:after="0" w:line="360" w:lineRule="auto"/>
        <w:jc w:val="both"/>
        <w:rPr>
          <w:lang w:val="en-US"/>
        </w:rPr>
      </w:pPr>
      <w:r>
        <w:rPr>
          <w:lang w:val="en-US"/>
        </w:rPr>
        <w:t xml:space="preserve">Here the levers should be pulled enough to ensure that the emissions target is </w:t>
      </w:r>
      <w:proofErr w:type="gramStart"/>
      <w:r>
        <w:rPr>
          <w:lang w:val="en-US"/>
        </w:rPr>
        <w:t>reached</w:t>
      </w:r>
      <w:proofErr w:type="gramEnd"/>
    </w:p>
    <w:p w14:paraId="27C4CCBD" w14:textId="05BEA5B0" w:rsidR="00FD249F" w:rsidRDefault="00FD249F" w:rsidP="00E20E52">
      <w:pPr>
        <w:pStyle w:val="ListParagraph"/>
        <w:numPr>
          <w:ilvl w:val="1"/>
          <w:numId w:val="10"/>
        </w:numPr>
        <w:spacing w:after="0" w:line="360" w:lineRule="auto"/>
        <w:jc w:val="both"/>
        <w:rPr>
          <w:lang w:val="en-US"/>
        </w:rPr>
      </w:pPr>
      <w:r>
        <w:rPr>
          <w:lang w:val="en-US"/>
        </w:rPr>
        <w:t xml:space="preserve">Total system costs as well as costs across key actors can be analyzed to understand whether the totality and the distribution is realistic and </w:t>
      </w:r>
      <w:proofErr w:type="gramStart"/>
      <w:r>
        <w:rPr>
          <w:lang w:val="en-US"/>
        </w:rPr>
        <w:t>desirable</w:t>
      </w:r>
      <w:proofErr w:type="gramEnd"/>
    </w:p>
    <w:p w14:paraId="6D346296" w14:textId="15264E75" w:rsidR="00FD249F" w:rsidRDefault="00FD249F" w:rsidP="00E20E52">
      <w:pPr>
        <w:pStyle w:val="ListParagraph"/>
        <w:numPr>
          <w:ilvl w:val="1"/>
          <w:numId w:val="10"/>
        </w:numPr>
        <w:spacing w:after="0" w:line="360" w:lineRule="auto"/>
        <w:jc w:val="both"/>
        <w:rPr>
          <w:lang w:val="en-US"/>
        </w:rPr>
      </w:pPr>
      <w:r>
        <w:rPr>
          <w:lang w:val="en-US"/>
        </w:rPr>
        <w:t xml:space="preserve">Are </w:t>
      </w:r>
      <w:proofErr w:type="gramStart"/>
      <w:r>
        <w:rPr>
          <w:lang w:val="en-US"/>
        </w:rPr>
        <w:t>the climate</w:t>
      </w:r>
      <w:proofErr w:type="gramEnd"/>
      <w:r>
        <w:rPr>
          <w:lang w:val="en-US"/>
        </w:rPr>
        <w:t xml:space="preserve"> mitigation action</w:t>
      </w:r>
      <w:r w:rsidR="00B52E1F">
        <w:rPr>
          <w:lang w:val="en-US"/>
        </w:rPr>
        <w:t>s</w:t>
      </w:r>
      <w:r>
        <w:rPr>
          <w:lang w:val="en-US"/>
        </w:rPr>
        <w:t xml:space="preserve"> (or levers) realistic or which ones are particularly sensitive or vulnerable?</w:t>
      </w:r>
    </w:p>
    <w:p w14:paraId="37B46680" w14:textId="416D320F" w:rsidR="00FD249F" w:rsidRDefault="00FD249F" w:rsidP="00E20E52">
      <w:pPr>
        <w:pStyle w:val="ListParagraph"/>
        <w:numPr>
          <w:ilvl w:val="0"/>
          <w:numId w:val="10"/>
        </w:numPr>
        <w:spacing w:after="0" w:line="360" w:lineRule="auto"/>
        <w:jc w:val="both"/>
        <w:rPr>
          <w:lang w:val="en-US"/>
        </w:rPr>
      </w:pPr>
      <w:r>
        <w:rPr>
          <w:lang w:val="en-US"/>
        </w:rPr>
        <w:t xml:space="preserve">If the main risk </w:t>
      </w:r>
      <w:proofErr w:type="gramStart"/>
      <w:r>
        <w:rPr>
          <w:lang w:val="en-US"/>
        </w:rPr>
        <w:t>materialize</w:t>
      </w:r>
      <w:proofErr w:type="gramEnd"/>
      <w:r>
        <w:rPr>
          <w:lang w:val="en-US"/>
        </w:rPr>
        <w:t xml:space="preserve"> so that the preferred levers cannot be pulled, what is our second</w:t>
      </w:r>
      <w:r w:rsidR="00B52E1F">
        <w:rPr>
          <w:lang w:val="en-US"/>
        </w:rPr>
        <w:t>-</w:t>
      </w:r>
      <w:r>
        <w:rPr>
          <w:lang w:val="en-US"/>
        </w:rPr>
        <w:t>best option?</w:t>
      </w:r>
    </w:p>
    <w:p w14:paraId="69288285" w14:textId="33B54312" w:rsidR="00FD249F" w:rsidRDefault="00FD249F" w:rsidP="00E20E52">
      <w:pPr>
        <w:pStyle w:val="ListParagraph"/>
        <w:numPr>
          <w:ilvl w:val="1"/>
          <w:numId w:val="10"/>
        </w:numPr>
        <w:spacing w:after="0" w:line="360" w:lineRule="auto"/>
        <w:jc w:val="both"/>
        <w:rPr>
          <w:lang w:val="en-US"/>
        </w:rPr>
      </w:pPr>
      <w:r>
        <w:rPr>
          <w:lang w:val="en-US"/>
        </w:rPr>
        <w:t>What are the additional costs of taking this path instead?</w:t>
      </w:r>
    </w:p>
    <w:p w14:paraId="12ED28B6" w14:textId="452ABE42" w:rsidR="00FD249F" w:rsidRDefault="00FD249F" w:rsidP="00E20E52">
      <w:pPr>
        <w:pStyle w:val="ListParagraph"/>
        <w:numPr>
          <w:ilvl w:val="0"/>
          <w:numId w:val="10"/>
        </w:numPr>
        <w:spacing w:after="0" w:line="360" w:lineRule="auto"/>
        <w:jc w:val="both"/>
        <w:rPr>
          <w:lang w:val="en-US"/>
        </w:rPr>
      </w:pPr>
      <w:r>
        <w:rPr>
          <w:lang w:val="en-US"/>
        </w:rPr>
        <w:t>Is there any other approach that would also achieve the target that can be analyzed?</w:t>
      </w:r>
    </w:p>
    <w:p w14:paraId="02066BCA" w14:textId="03517C95" w:rsidR="00FD249F" w:rsidRDefault="00FD249F" w:rsidP="00E20E52">
      <w:pPr>
        <w:pStyle w:val="ListParagraph"/>
        <w:numPr>
          <w:ilvl w:val="1"/>
          <w:numId w:val="10"/>
        </w:numPr>
        <w:spacing w:after="0" w:line="360" w:lineRule="auto"/>
        <w:jc w:val="both"/>
        <w:rPr>
          <w:lang w:val="en-US"/>
        </w:rPr>
      </w:pPr>
      <w:r>
        <w:rPr>
          <w:lang w:val="en-US"/>
        </w:rPr>
        <w:t xml:space="preserve">Other approaches could be to focus more on behavioral change or technical </w:t>
      </w:r>
      <w:proofErr w:type="gramStart"/>
      <w:r>
        <w:rPr>
          <w:lang w:val="en-US"/>
        </w:rPr>
        <w:t>solutions</w:t>
      </w:r>
      <w:proofErr w:type="gramEnd"/>
    </w:p>
    <w:p w14:paraId="06CA10EE" w14:textId="2B25E22C" w:rsidR="00AC77CE" w:rsidRDefault="00AC77CE" w:rsidP="00E20E52">
      <w:pPr>
        <w:pStyle w:val="ListParagraph"/>
        <w:numPr>
          <w:ilvl w:val="0"/>
          <w:numId w:val="10"/>
        </w:numPr>
        <w:spacing w:after="0" w:line="360" w:lineRule="auto"/>
        <w:jc w:val="both"/>
        <w:rPr>
          <w:lang w:val="en-US"/>
        </w:rPr>
      </w:pPr>
      <w:r>
        <w:rPr>
          <w:lang w:val="en-US"/>
        </w:rPr>
        <w:t xml:space="preserve">How </w:t>
      </w:r>
      <w:proofErr w:type="gramStart"/>
      <w:r>
        <w:rPr>
          <w:lang w:val="en-US"/>
        </w:rPr>
        <w:t>does</w:t>
      </w:r>
      <w:proofErr w:type="gramEnd"/>
      <w:r>
        <w:rPr>
          <w:lang w:val="en-US"/>
        </w:rPr>
        <w:t xml:space="preserve"> these costs compare to our internal model?</w:t>
      </w:r>
    </w:p>
    <w:p w14:paraId="4A0B414B" w14:textId="15545974" w:rsidR="00AC77CE" w:rsidRDefault="00AC77CE" w:rsidP="00E20E52">
      <w:pPr>
        <w:pStyle w:val="ListParagraph"/>
        <w:numPr>
          <w:ilvl w:val="1"/>
          <w:numId w:val="10"/>
        </w:numPr>
        <w:spacing w:after="0" w:line="360" w:lineRule="auto"/>
        <w:jc w:val="both"/>
        <w:rPr>
          <w:lang w:val="en-US"/>
        </w:rPr>
      </w:pPr>
      <w:r>
        <w:rPr>
          <w:lang w:val="en-US"/>
        </w:rPr>
        <w:t xml:space="preserve">Can be used to analyze if there are any assumptions that have large differences across models and used to improve upon both this model and local </w:t>
      </w:r>
      <w:proofErr w:type="gramStart"/>
      <w:r>
        <w:rPr>
          <w:lang w:val="en-US"/>
        </w:rPr>
        <w:t>assumptions</w:t>
      </w:r>
      <w:proofErr w:type="gramEnd"/>
    </w:p>
    <w:p w14:paraId="57EB2452" w14:textId="77777777" w:rsidR="00AF0AFB" w:rsidRPr="00AF0AFB" w:rsidRDefault="00AF0AFB" w:rsidP="00E20E52">
      <w:pPr>
        <w:spacing w:after="0" w:line="360" w:lineRule="auto"/>
        <w:contextualSpacing/>
        <w:jc w:val="both"/>
        <w:rPr>
          <w:lang w:val="en-US"/>
        </w:rPr>
      </w:pPr>
    </w:p>
    <w:p w14:paraId="6ECBCD08" w14:textId="77777777" w:rsidR="008D2AF6" w:rsidRDefault="008D2AF6" w:rsidP="00E20E52">
      <w:pPr>
        <w:spacing w:after="0" w:line="360" w:lineRule="auto"/>
        <w:contextualSpacing/>
        <w:jc w:val="both"/>
        <w:rPr>
          <w:rStyle w:val="hgkelc"/>
          <w:lang w:val="en-US"/>
        </w:rPr>
      </w:pPr>
    </w:p>
    <w:p w14:paraId="70A7513F" w14:textId="77777777" w:rsidR="008D2AF6" w:rsidRDefault="008D2AF6" w:rsidP="00E20E52">
      <w:pPr>
        <w:spacing w:after="0" w:line="360" w:lineRule="auto"/>
        <w:contextualSpacing/>
        <w:jc w:val="both"/>
        <w:rPr>
          <w:rStyle w:val="hgkelc"/>
          <w:lang w:val="en-US"/>
        </w:rPr>
      </w:pPr>
    </w:p>
    <w:p w14:paraId="2DA7E6DE" w14:textId="77777777" w:rsidR="008D2AF6" w:rsidRDefault="008D2AF6" w:rsidP="00E20E52">
      <w:pPr>
        <w:spacing w:after="0" w:line="360" w:lineRule="auto"/>
        <w:contextualSpacing/>
        <w:jc w:val="both"/>
        <w:rPr>
          <w:rStyle w:val="hgkelc"/>
          <w:lang w:val="en-US"/>
        </w:rPr>
      </w:pPr>
    </w:p>
    <w:p w14:paraId="3AA2ACD5" w14:textId="77777777" w:rsidR="008D2AF6" w:rsidRDefault="008D2AF6" w:rsidP="00E20E52">
      <w:pPr>
        <w:spacing w:after="0" w:line="360" w:lineRule="auto"/>
        <w:contextualSpacing/>
        <w:jc w:val="both"/>
        <w:rPr>
          <w:rStyle w:val="hgkelc"/>
          <w:lang w:val="en-US"/>
        </w:rPr>
      </w:pPr>
    </w:p>
    <w:p w14:paraId="16E42C2A" w14:textId="77777777" w:rsidR="008D2AF6" w:rsidRDefault="008D2AF6" w:rsidP="00E20E52">
      <w:pPr>
        <w:spacing w:after="0" w:line="360" w:lineRule="auto"/>
        <w:contextualSpacing/>
        <w:jc w:val="both"/>
        <w:rPr>
          <w:rStyle w:val="hgkelc"/>
          <w:lang w:val="en-US"/>
        </w:rPr>
      </w:pPr>
    </w:p>
    <w:p w14:paraId="0617DC72" w14:textId="77777777" w:rsidR="008D2AF6" w:rsidRDefault="008D2AF6" w:rsidP="00E20E52">
      <w:pPr>
        <w:spacing w:after="0" w:line="360" w:lineRule="auto"/>
        <w:contextualSpacing/>
        <w:jc w:val="both"/>
        <w:rPr>
          <w:rStyle w:val="hgkelc"/>
          <w:lang w:val="en-US"/>
        </w:rPr>
      </w:pPr>
    </w:p>
    <w:p w14:paraId="69824FE3" w14:textId="77777777" w:rsidR="008D2AF6" w:rsidRDefault="008D2AF6" w:rsidP="00E20E52">
      <w:pPr>
        <w:spacing w:after="0" w:line="360" w:lineRule="auto"/>
        <w:contextualSpacing/>
        <w:jc w:val="both"/>
        <w:rPr>
          <w:rStyle w:val="hgkelc"/>
          <w:lang w:val="en-US"/>
        </w:rPr>
      </w:pPr>
    </w:p>
    <w:p w14:paraId="71259BEC" w14:textId="77777777" w:rsidR="008D2AF6" w:rsidRDefault="008D2AF6" w:rsidP="00E20E52">
      <w:pPr>
        <w:spacing w:after="0" w:line="360" w:lineRule="auto"/>
        <w:contextualSpacing/>
        <w:jc w:val="both"/>
        <w:rPr>
          <w:rStyle w:val="hgkelc"/>
          <w:lang w:val="en-US"/>
        </w:rPr>
      </w:pPr>
    </w:p>
    <w:p w14:paraId="65F9C237" w14:textId="77777777" w:rsidR="008D2AF6" w:rsidRDefault="008D2AF6" w:rsidP="00E20E52">
      <w:pPr>
        <w:spacing w:after="0" w:line="360" w:lineRule="auto"/>
        <w:contextualSpacing/>
        <w:jc w:val="both"/>
        <w:rPr>
          <w:rStyle w:val="hgkelc"/>
          <w:lang w:val="en-US"/>
        </w:rPr>
      </w:pPr>
    </w:p>
    <w:p w14:paraId="48B7FE42" w14:textId="77777777" w:rsidR="008D2AF6" w:rsidRDefault="008D2AF6" w:rsidP="00E20E52">
      <w:pPr>
        <w:spacing w:after="0" w:line="360" w:lineRule="auto"/>
        <w:contextualSpacing/>
        <w:jc w:val="both"/>
        <w:rPr>
          <w:rStyle w:val="hgkelc"/>
          <w:lang w:val="en-US"/>
        </w:rPr>
      </w:pPr>
    </w:p>
    <w:p w14:paraId="2A09B6D3" w14:textId="069EA989" w:rsidR="008D2AF6" w:rsidRDefault="008D2AF6" w:rsidP="00E20E52">
      <w:pPr>
        <w:spacing w:after="0" w:line="360" w:lineRule="auto"/>
        <w:contextualSpacing/>
        <w:jc w:val="both"/>
        <w:rPr>
          <w:rStyle w:val="hgkelc"/>
          <w:lang w:val="en-US"/>
        </w:rPr>
      </w:pPr>
      <w:r w:rsidRPr="00AF0AFB">
        <w:rPr>
          <w:rStyle w:val="hgkelc"/>
          <w:noProof/>
          <w:lang w:val="en-US"/>
        </w:rPr>
        <mc:AlternateContent>
          <mc:Choice Requires="wps">
            <w:drawing>
              <wp:anchor distT="45720" distB="45720" distL="114300" distR="114300" simplePos="0" relativeHeight="251658241" behindDoc="0" locked="0" layoutInCell="1" allowOverlap="1" wp14:anchorId="0FDA9862" wp14:editId="50149023">
                <wp:simplePos x="0" y="0"/>
                <wp:positionH relativeFrom="column">
                  <wp:posOffset>0</wp:posOffset>
                </wp:positionH>
                <wp:positionV relativeFrom="paragraph">
                  <wp:posOffset>-6791960</wp:posOffset>
                </wp:positionV>
                <wp:extent cx="5981700" cy="1404620"/>
                <wp:effectExtent l="0" t="0" r="19050" b="19050"/>
                <wp:wrapSquare wrapText="bothSides"/>
                <wp:docPr id="1685519214" name="Text Box 1685519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4A26004C" w14:textId="77777777" w:rsidR="008D2AF6" w:rsidRPr="00FA56C7" w:rsidRDefault="008D2AF6" w:rsidP="008D2AF6">
                            <w:pPr>
                              <w:spacing w:after="0" w:line="240" w:lineRule="auto"/>
                              <w:contextualSpacing/>
                              <w:jc w:val="both"/>
                              <w:rPr>
                                <w:b/>
                                <w:bCs/>
                                <w:lang w:val="en-GB"/>
                              </w:rPr>
                            </w:pPr>
                            <w:r>
                              <w:rPr>
                                <w:b/>
                                <w:bCs/>
                                <w:lang w:val="en-GB"/>
                              </w:rPr>
                              <w:t>Box 1. An example for Stockholm’s consumption-based emissions</w:t>
                            </w:r>
                          </w:p>
                          <w:p w14:paraId="2EE64BC3" w14:textId="77777777" w:rsidR="008D2AF6" w:rsidRDefault="008D2AF6" w:rsidP="008D2AF6">
                            <w:pPr>
                              <w:spacing w:after="0" w:line="240" w:lineRule="auto"/>
                              <w:contextualSpacing/>
                              <w:jc w:val="both"/>
                              <w:rPr>
                                <w:rStyle w:val="hgkelc"/>
                                <w:lang w:val="en-GB"/>
                              </w:rPr>
                            </w:pPr>
                            <w:r>
                              <w:rPr>
                                <w:lang w:val="en-GB"/>
                              </w:rPr>
                              <w:t xml:space="preserve">For the city of Stockholm, we focus on consumption-based emissions (households only). Our strategy mix consists of </w:t>
                            </w:r>
                            <w:r w:rsidRPr="008E7494">
                              <w:rPr>
                                <w:lang w:val="en-GB"/>
                              </w:rPr>
                              <w:t>40% of the people in Stockholm will be vegan by 2030 (with the rest not changing their average diet)</w:t>
                            </w:r>
                            <w:r>
                              <w:rPr>
                                <w:lang w:val="en-GB"/>
                              </w:rPr>
                              <w:t>;</w:t>
                            </w:r>
                            <w:r w:rsidRPr="008E7494">
                              <w:rPr>
                                <w:lang w:val="en-GB"/>
                              </w:rPr>
                              <w:t xml:space="preserve"> 20% of the private cars will be electrified (with the rest keeping the 2019 fuel mix ratios</w:t>
                            </w:r>
                            <w:r>
                              <w:rPr>
                                <w:lang w:val="en-GB"/>
                              </w:rPr>
                              <w:t>); 2</w:t>
                            </w:r>
                            <w:r w:rsidRPr="008E7494">
                              <w:rPr>
                                <w:lang w:val="en-GB"/>
                              </w:rPr>
                              <w:t>0% of the households’ appliances will be replaced by the best available technology (BAT)</w:t>
                            </w:r>
                            <w:r>
                              <w:rPr>
                                <w:lang w:val="en-GB"/>
                              </w:rPr>
                              <w:t>;</w:t>
                            </w:r>
                            <w:r w:rsidRPr="008E7494">
                              <w:rPr>
                                <w:lang w:val="en-GB"/>
                              </w:rPr>
                              <w:t xml:space="preserve"> and in 20% of the dwellings the indoor temperature will be reduced to 20</w:t>
                            </w:r>
                            <w:r w:rsidRPr="008E7494">
                              <w:rPr>
                                <w:rStyle w:val="hgkelc"/>
                                <w:lang w:val="en-GB"/>
                              </w:rPr>
                              <w:t>°C.</w:t>
                            </w:r>
                          </w:p>
                          <w:p w14:paraId="53F53DBF" w14:textId="77777777" w:rsidR="008D2AF6" w:rsidRDefault="008D2AF6" w:rsidP="008D2AF6">
                            <w:pPr>
                              <w:spacing w:after="0" w:line="240" w:lineRule="auto"/>
                              <w:contextualSpacing/>
                              <w:jc w:val="both"/>
                              <w:rPr>
                                <w:rStyle w:val="hgkelc"/>
                                <w:lang w:val="en-GB"/>
                              </w:rPr>
                            </w:pPr>
                          </w:p>
                          <w:p w14:paraId="024EB44A" w14:textId="77777777" w:rsidR="008D2AF6" w:rsidRDefault="008D2AF6" w:rsidP="008D2AF6">
                            <w:pPr>
                              <w:spacing w:after="0" w:line="240" w:lineRule="auto"/>
                              <w:contextualSpacing/>
                              <w:jc w:val="both"/>
                              <w:rPr>
                                <w:rStyle w:val="hgkelc"/>
                                <w:lang w:val="en-GB"/>
                              </w:rPr>
                            </w:pPr>
                            <w:r>
                              <w:rPr>
                                <w:rStyle w:val="hgkelc"/>
                                <w:lang w:val="en-GB"/>
                              </w:rPr>
                              <w:t>According to the four strategies selected:</w:t>
                            </w:r>
                          </w:p>
                          <w:p w14:paraId="20671D94" w14:textId="77777777" w:rsidR="008D2AF6" w:rsidRPr="000F64B0" w:rsidRDefault="008D2AF6" w:rsidP="0049679E">
                            <w:pPr>
                              <w:pStyle w:val="ListParagraph"/>
                              <w:numPr>
                                <w:ilvl w:val="0"/>
                                <w:numId w:val="5"/>
                              </w:numPr>
                              <w:spacing w:before="100" w:after="0" w:line="240" w:lineRule="auto"/>
                              <w:jc w:val="both"/>
                              <w:rPr>
                                <w:rStyle w:val="hgkelc"/>
                                <w:lang w:val="en-GB"/>
                              </w:rPr>
                            </w:pPr>
                            <w:r>
                              <w:rPr>
                                <w:rStyle w:val="hgkelc"/>
                                <w:lang w:val="en-GB"/>
                              </w:rPr>
                              <w:t>For food consumption, t</w:t>
                            </w:r>
                            <w:r w:rsidRPr="000F64B0">
                              <w:rPr>
                                <w:rStyle w:val="hgkelc"/>
                                <w:lang w:val="en-GB"/>
                              </w:rPr>
                              <w:t>here is no CAPEX or OPEX for a change in food consumption behaviour as we assume that a vegan diet is as expensive as the current average diet.</w:t>
                            </w:r>
                          </w:p>
                          <w:p w14:paraId="2EE66E11" w14:textId="77777777" w:rsidR="008D2AF6" w:rsidRPr="000F64B0" w:rsidRDefault="008D2AF6" w:rsidP="0049679E">
                            <w:pPr>
                              <w:pStyle w:val="ListParagraph"/>
                              <w:numPr>
                                <w:ilvl w:val="0"/>
                                <w:numId w:val="5"/>
                              </w:numPr>
                              <w:spacing w:before="100" w:after="0" w:line="240" w:lineRule="auto"/>
                              <w:jc w:val="both"/>
                              <w:rPr>
                                <w:rStyle w:val="hgkelc"/>
                                <w:lang w:val="en-GB"/>
                              </w:rPr>
                            </w:pPr>
                            <w:r>
                              <w:rPr>
                                <w:rStyle w:val="hgkelc"/>
                                <w:lang w:val="en-GB"/>
                              </w:rPr>
                              <w:t>For transport, a</w:t>
                            </w:r>
                            <w:r w:rsidRPr="000F64B0">
                              <w:rPr>
                                <w:rStyle w:val="hgkelc"/>
                                <w:lang w:val="en-GB"/>
                              </w:rPr>
                              <w:t xml:space="preserve"> CAPEX is required to purchase </w:t>
                            </w:r>
                            <w:r>
                              <w:rPr>
                                <w:rStyle w:val="hgkelc"/>
                                <w:lang w:val="en-GB"/>
                              </w:rPr>
                              <w:t>the 20% of electric</w:t>
                            </w:r>
                            <w:r w:rsidRPr="000F64B0">
                              <w:rPr>
                                <w:rStyle w:val="hgkelc"/>
                                <w:lang w:val="en-GB"/>
                              </w:rPr>
                              <w:t xml:space="preserve"> vehicles and install a private charging station</w:t>
                            </w:r>
                            <w:r>
                              <w:rPr>
                                <w:rStyle w:val="hgkelc"/>
                                <w:lang w:val="en-GB"/>
                              </w:rPr>
                              <w:t>. O</w:t>
                            </w:r>
                            <w:r w:rsidRPr="000F64B0">
                              <w:rPr>
                                <w:rStyle w:val="hgkelc"/>
                                <w:lang w:val="en-GB"/>
                              </w:rPr>
                              <w:t xml:space="preserve">PEX investments are necessary to charge these cars, provide the necessary operational and maintenance checks and replace the electrical battery after its usage lifetime. </w:t>
                            </w:r>
                          </w:p>
                          <w:p w14:paraId="59194E9A" w14:textId="77777777" w:rsidR="008D2AF6" w:rsidRDefault="008D2AF6" w:rsidP="0049679E">
                            <w:pPr>
                              <w:pStyle w:val="ListParagraph"/>
                              <w:numPr>
                                <w:ilvl w:val="0"/>
                                <w:numId w:val="5"/>
                              </w:numPr>
                              <w:spacing w:before="100" w:after="0" w:line="240" w:lineRule="auto"/>
                              <w:jc w:val="both"/>
                              <w:rPr>
                                <w:rStyle w:val="hgkelc"/>
                                <w:lang w:val="en-GB"/>
                              </w:rPr>
                            </w:pPr>
                            <w:r>
                              <w:rPr>
                                <w:rStyle w:val="hgkelc"/>
                                <w:lang w:val="en-GB"/>
                              </w:rPr>
                              <w:t xml:space="preserve">For </w:t>
                            </w:r>
                            <w:r w:rsidRPr="000F64B0">
                              <w:rPr>
                                <w:rStyle w:val="hgkelc"/>
                                <w:lang w:val="en-GB"/>
                              </w:rPr>
                              <w:t xml:space="preserve">the electricity sector, buying the BAT requires a CAPEX investment but there is no OPEX investment need. If no Jenson’s paradox is assumed, then OPEX investment would </w:t>
                            </w:r>
                            <w:proofErr w:type="gramStart"/>
                            <w:r w:rsidRPr="000F64B0">
                              <w:rPr>
                                <w:rStyle w:val="hgkelc"/>
                                <w:lang w:val="en-GB"/>
                              </w:rPr>
                              <w:t>actually be</w:t>
                            </w:r>
                            <w:proofErr w:type="gramEnd"/>
                            <w:r w:rsidRPr="000F64B0">
                              <w:rPr>
                                <w:rStyle w:val="hgkelc"/>
                                <w:lang w:val="en-GB"/>
                              </w:rPr>
                              <w:t xml:space="preserve"> negative, i.e., savings from reduced energy consumption. </w:t>
                            </w:r>
                          </w:p>
                          <w:p w14:paraId="3AE94E46" w14:textId="77777777" w:rsidR="008D2AF6" w:rsidRPr="00DE04FE" w:rsidRDefault="008D2AF6" w:rsidP="0049679E">
                            <w:pPr>
                              <w:pStyle w:val="ListParagraph"/>
                              <w:numPr>
                                <w:ilvl w:val="0"/>
                                <w:numId w:val="5"/>
                              </w:numPr>
                              <w:spacing w:before="100" w:after="0" w:line="240" w:lineRule="auto"/>
                              <w:jc w:val="both"/>
                              <w:rPr>
                                <w:rStyle w:val="hgkelc"/>
                                <w:lang w:val="en-GB"/>
                              </w:rPr>
                            </w:pPr>
                            <w:r w:rsidRPr="00DE04FE">
                              <w:rPr>
                                <w:rStyle w:val="hgkelc"/>
                                <w:lang w:val="en-GB"/>
                              </w:rPr>
                              <w:t>No heating CAPEX or OPEX</w:t>
                            </w:r>
                            <w:r>
                              <w:rPr>
                                <w:rStyle w:val="hgkelc"/>
                                <w:lang w:val="en-GB"/>
                              </w:rPr>
                              <w:t xml:space="preserve"> is returned by the model as lowering indoor temperature is just a behavioural measure that does not require any investment. </w:t>
                            </w:r>
                          </w:p>
                          <w:p w14:paraId="236CB596" w14:textId="77777777" w:rsidR="008D2AF6" w:rsidRDefault="008D2AF6" w:rsidP="008D2AF6">
                            <w:pPr>
                              <w:spacing w:after="0" w:line="240" w:lineRule="auto"/>
                              <w:jc w:val="both"/>
                              <w:rPr>
                                <w:rStyle w:val="hgkelc"/>
                                <w:lang w:val="en-GB"/>
                              </w:rPr>
                            </w:pPr>
                          </w:p>
                          <w:p w14:paraId="1C7F1363" w14:textId="77777777" w:rsidR="008D2AF6" w:rsidRDefault="008D2AF6" w:rsidP="008D2AF6">
                            <w:pPr>
                              <w:spacing w:after="0" w:line="240" w:lineRule="auto"/>
                              <w:contextualSpacing/>
                              <w:jc w:val="both"/>
                              <w:rPr>
                                <w:rStyle w:val="hgkelc"/>
                                <w:lang w:val="en-GB"/>
                              </w:rPr>
                            </w:pPr>
                            <w:r>
                              <w:rPr>
                                <w:lang w:val="en-GB"/>
                              </w:rPr>
                              <w:t xml:space="preserve">Our investment plan shows </w:t>
                            </w:r>
                            <w:r w:rsidRPr="008E7494">
                              <w:rPr>
                                <w:rStyle w:val="hgkelc"/>
                                <w:lang w:val="en-GB"/>
                              </w:rPr>
                              <w:t>waterfall graphs with only three columns</w:t>
                            </w:r>
                            <w:r>
                              <w:rPr>
                                <w:rStyle w:val="hgkelc"/>
                                <w:lang w:val="en-GB"/>
                              </w:rPr>
                              <w:t xml:space="preserve"> (total, </w:t>
                            </w:r>
                            <w:r w:rsidRPr="00702388">
                              <w:rPr>
                                <w:rStyle w:val="hgkelc"/>
                                <w:lang w:val="en-GB"/>
                              </w:rPr>
                              <w:t xml:space="preserve">vehicles, </w:t>
                            </w:r>
                            <w:r>
                              <w:rPr>
                                <w:rStyle w:val="hgkelc"/>
                                <w:lang w:val="en-GB"/>
                              </w:rPr>
                              <w:t>electricity)</w:t>
                            </w:r>
                            <w:r w:rsidRPr="008E7494">
                              <w:rPr>
                                <w:rStyle w:val="hgkelc"/>
                                <w:lang w:val="en-GB"/>
                              </w:rPr>
                              <w:t xml:space="preserve">. </w:t>
                            </w:r>
                          </w:p>
                          <w:p w14:paraId="521772EA" w14:textId="77777777" w:rsidR="008D2AF6" w:rsidRDefault="008D2AF6" w:rsidP="0049679E">
                            <w:pPr>
                              <w:pStyle w:val="ListParagraph"/>
                              <w:numPr>
                                <w:ilvl w:val="0"/>
                                <w:numId w:val="7"/>
                              </w:numPr>
                              <w:spacing w:before="100" w:after="0" w:line="240" w:lineRule="auto"/>
                              <w:jc w:val="both"/>
                              <w:rPr>
                                <w:rStyle w:val="hgkelc"/>
                                <w:lang w:val="en-GB"/>
                              </w:rPr>
                            </w:pPr>
                            <w:r>
                              <w:rPr>
                                <w:rStyle w:val="hgkelc"/>
                                <w:lang w:val="en-GB"/>
                              </w:rPr>
                              <w:t>T</w:t>
                            </w:r>
                            <w:r w:rsidRPr="00E016F9">
                              <w:rPr>
                                <w:rStyle w:val="hgkelc"/>
                                <w:lang w:val="en-GB"/>
                              </w:rPr>
                              <w:t>he utility company</w:t>
                            </w:r>
                            <w:r>
                              <w:rPr>
                                <w:rStyle w:val="hgkelc"/>
                                <w:lang w:val="en-GB"/>
                              </w:rPr>
                              <w:t xml:space="preserve"> is </w:t>
                            </w:r>
                            <w:r w:rsidRPr="00E016F9">
                              <w:rPr>
                                <w:rStyle w:val="hgkelc"/>
                                <w:lang w:val="en-GB"/>
                              </w:rPr>
                              <w:t xml:space="preserve">not required to make investments. </w:t>
                            </w:r>
                          </w:p>
                          <w:p w14:paraId="68A04C74" w14:textId="77777777" w:rsidR="008D2AF6" w:rsidRDefault="008D2AF6" w:rsidP="0049679E">
                            <w:pPr>
                              <w:pStyle w:val="ListParagraph"/>
                              <w:numPr>
                                <w:ilvl w:val="0"/>
                                <w:numId w:val="7"/>
                              </w:numPr>
                              <w:spacing w:before="100" w:after="0" w:line="240" w:lineRule="auto"/>
                              <w:jc w:val="both"/>
                              <w:rPr>
                                <w:rStyle w:val="hgkelc"/>
                                <w:lang w:val="en-GB"/>
                              </w:rPr>
                            </w:pPr>
                            <w:r>
                              <w:rPr>
                                <w:rStyle w:val="hgkelc"/>
                                <w:lang w:val="en-GB"/>
                              </w:rPr>
                              <w:t>The public transport company does not need to make any investment.</w:t>
                            </w:r>
                          </w:p>
                          <w:p w14:paraId="68A1E8FC" w14:textId="77777777" w:rsidR="008D2AF6" w:rsidRDefault="008D2AF6" w:rsidP="0049679E">
                            <w:pPr>
                              <w:pStyle w:val="ListParagraph"/>
                              <w:numPr>
                                <w:ilvl w:val="0"/>
                                <w:numId w:val="7"/>
                              </w:numPr>
                              <w:spacing w:before="100" w:after="0" w:line="240" w:lineRule="auto"/>
                              <w:jc w:val="both"/>
                              <w:rPr>
                                <w:rStyle w:val="hgkelc"/>
                                <w:lang w:val="en-GB"/>
                              </w:rPr>
                            </w:pPr>
                            <w:r w:rsidRPr="00E016F9">
                              <w:rPr>
                                <w:rStyle w:val="hgkelc"/>
                                <w:lang w:val="en-GB"/>
                              </w:rPr>
                              <w:t>CAPEX and OPEX investments emerge for</w:t>
                            </w:r>
                            <w:r>
                              <w:rPr>
                                <w:rStyle w:val="hgkelc"/>
                                <w:lang w:val="en-GB"/>
                              </w:rPr>
                              <w:t xml:space="preserve"> the change in vehicles for citizens – tenants, citizens – landlords and </w:t>
                            </w:r>
                            <w:proofErr w:type="gramStart"/>
                            <w:r>
                              <w:rPr>
                                <w:rStyle w:val="hgkelc"/>
                                <w:lang w:val="en-GB"/>
                              </w:rPr>
                              <w:t>home owners</w:t>
                            </w:r>
                            <w:proofErr w:type="gramEnd"/>
                            <w:r>
                              <w:rPr>
                                <w:rStyle w:val="hgkelc"/>
                                <w:lang w:val="en-GB"/>
                              </w:rPr>
                              <w:t xml:space="preserve">, and </w:t>
                            </w:r>
                            <w:r w:rsidRPr="00E016F9">
                              <w:rPr>
                                <w:rStyle w:val="hgkelc"/>
                                <w:lang w:val="en-GB"/>
                              </w:rPr>
                              <w:t xml:space="preserve">private businesses, as </w:t>
                            </w:r>
                            <w:r>
                              <w:rPr>
                                <w:rStyle w:val="hgkelc"/>
                                <w:lang w:val="en-GB"/>
                              </w:rPr>
                              <w:t>each of these actors own some of the</w:t>
                            </w:r>
                            <w:r w:rsidRPr="00E016F9">
                              <w:rPr>
                                <w:rStyle w:val="hgkelc"/>
                                <w:lang w:val="en-GB"/>
                              </w:rPr>
                              <w:t xml:space="preserve"> vehicles </w:t>
                            </w:r>
                            <w:r>
                              <w:rPr>
                                <w:rStyle w:val="hgkelc"/>
                                <w:lang w:val="en-GB"/>
                              </w:rPr>
                              <w:t>currently in the vehicle fleet</w:t>
                            </w:r>
                            <w:r w:rsidRPr="00E016F9">
                              <w:rPr>
                                <w:rStyle w:val="hgkelc"/>
                                <w:lang w:val="en-GB"/>
                              </w:rPr>
                              <w:t xml:space="preserve">. </w:t>
                            </w:r>
                          </w:p>
                          <w:p w14:paraId="26740C80" w14:textId="77777777" w:rsidR="008D2AF6" w:rsidRDefault="008D2AF6" w:rsidP="0049679E">
                            <w:pPr>
                              <w:pStyle w:val="ListParagraph"/>
                              <w:numPr>
                                <w:ilvl w:val="0"/>
                                <w:numId w:val="7"/>
                              </w:numPr>
                              <w:spacing w:before="100" w:after="0" w:line="240" w:lineRule="auto"/>
                              <w:jc w:val="both"/>
                              <w:rPr>
                                <w:rStyle w:val="hgkelc"/>
                                <w:lang w:val="en-GB"/>
                              </w:rPr>
                            </w:pPr>
                            <w:r w:rsidRPr="00E016F9">
                              <w:rPr>
                                <w:rStyle w:val="hgkelc"/>
                                <w:lang w:val="en-GB"/>
                              </w:rPr>
                              <w:t>A CAPEX investment need also emerges for the municipality</w:t>
                            </w:r>
                            <w:r>
                              <w:rPr>
                                <w:rStyle w:val="hgkelc"/>
                                <w:lang w:val="en-GB"/>
                              </w:rPr>
                              <w:t xml:space="preserve"> for </w:t>
                            </w:r>
                            <w:r w:rsidRPr="00E016F9">
                              <w:rPr>
                                <w:rStyle w:val="hgkelc"/>
                                <w:lang w:val="en-GB"/>
                              </w:rPr>
                              <w:t xml:space="preserve">the installation of a public charging network for the 20% of the car fleet that will be electrified. </w:t>
                            </w:r>
                          </w:p>
                          <w:p w14:paraId="4D105521" w14:textId="77777777" w:rsidR="008D2AF6" w:rsidRPr="00E016F9" w:rsidRDefault="008D2AF6" w:rsidP="0049679E">
                            <w:pPr>
                              <w:pStyle w:val="ListParagraph"/>
                              <w:numPr>
                                <w:ilvl w:val="0"/>
                                <w:numId w:val="7"/>
                              </w:numPr>
                              <w:spacing w:before="100" w:after="0" w:line="240" w:lineRule="auto"/>
                              <w:jc w:val="both"/>
                              <w:rPr>
                                <w:lang w:val="en-GB"/>
                              </w:rPr>
                            </w:pPr>
                            <w:r>
                              <w:rPr>
                                <w:rStyle w:val="hgkelc"/>
                                <w:lang w:val="en-GB"/>
                              </w:rPr>
                              <w:t xml:space="preserve">A CAPEX investment emerges for the municipal housing company: it needs to provide the residential charger for the electric vehicles and the BAT household appliances in the dwellings it owns.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A9862" id="Text Box 1685519214" o:spid="_x0000_s1034" type="#_x0000_t202" style="position:absolute;left:0;text-align:left;margin-left:0;margin-top:-534.8pt;width:471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">
                <v:textbox style="mso-fit-shape-to-text:t">
                  <w:txbxContent>
                    <w:p w14:paraId="4A26004C" w14:textId="77777777" w:rsidR="008D2AF6" w:rsidRPr="00FA56C7" w:rsidRDefault="008D2AF6" w:rsidP="008D2AF6">
                      <w:pPr>
                        <w:spacing w:after="0" w:line="240" w:lineRule="auto"/>
                        <w:contextualSpacing/>
                        <w:jc w:val="both"/>
                        <w:rPr>
                          <w:b/>
                          <w:bCs/>
                          <w:lang w:val="en-GB"/>
                        </w:rPr>
                      </w:pPr>
                      <w:r>
                        <w:rPr>
                          <w:b/>
                          <w:bCs/>
                          <w:lang w:val="en-GB"/>
                        </w:rPr>
                        <w:t>Box 1. An example for Stockholm’s consumption-based emissions</w:t>
                      </w:r>
                    </w:p>
                    <w:p w14:paraId="2EE64BC3" w14:textId="77777777" w:rsidR="008D2AF6" w:rsidRDefault="008D2AF6" w:rsidP="008D2AF6">
                      <w:pPr>
                        <w:spacing w:after="0" w:line="240" w:lineRule="auto"/>
                        <w:contextualSpacing/>
                        <w:jc w:val="both"/>
                        <w:rPr>
                          <w:rStyle w:val="hgkelc"/>
                          <w:lang w:val="en-GB"/>
                        </w:rPr>
                      </w:pPr>
                      <w:r>
                        <w:rPr>
                          <w:lang w:val="en-GB"/>
                        </w:rPr>
                        <w:t xml:space="preserve">For the city of Stockholm, we focus on consumption-based emissions (households only). Our strategy mix consists of </w:t>
                      </w:r>
                      <w:r w:rsidRPr="008E7494">
                        <w:rPr>
                          <w:lang w:val="en-GB"/>
                        </w:rPr>
                        <w:t>40% of the people in Stockholm will be vegan by 2030 (with the rest not changing their average diet)</w:t>
                      </w:r>
                      <w:r>
                        <w:rPr>
                          <w:lang w:val="en-GB"/>
                        </w:rPr>
                        <w:t>;</w:t>
                      </w:r>
                      <w:r w:rsidRPr="008E7494">
                        <w:rPr>
                          <w:lang w:val="en-GB"/>
                        </w:rPr>
                        <w:t xml:space="preserve"> 20% of the private cars will be electrified (with the rest keeping the 2019 fuel mix ratios</w:t>
                      </w:r>
                      <w:r>
                        <w:rPr>
                          <w:lang w:val="en-GB"/>
                        </w:rPr>
                        <w:t>); 2</w:t>
                      </w:r>
                      <w:r w:rsidRPr="008E7494">
                        <w:rPr>
                          <w:lang w:val="en-GB"/>
                        </w:rPr>
                        <w:t>0% of the households’ appliances will be replaced by the best available technology (BAT)</w:t>
                      </w:r>
                      <w:r>
                        <w:rPr>
                          <w:lang w:val="en-GB"/>
                        </w:rPr>
                        <w:t>;</w:t>
                      </w:r>
                      <w:r w:rsidRPr="008E7494">
                        <w:rPr>
                          <w:lang w:val="en-GB"/>
                        </w:rPr>
                        <w:t xml:space="preserve"> and in 20% of the dwellings the indoor temperature will be reduced to 20</w:t>
                      </w:r>
                      <w:r w:rsidRPr="008E7494">
                        <w:rPr>
                          <w:rStyle w:val="hgkelc"/>
                          <w:lang w:val="en-GB"/>
                        </w:rPr>
                        <w:t>°C.</w:t>
                      </w:r>
                    </w:p>
                    <w:p w14:paraId="53F53DBF" w14:textId="77777777" w:rsidR="008D2AF6" w:rsidRDefault="008D2AF6" w:rsidP="008D2AF6">
                      <w:pPr>
                        <w:spacing w:after="0" w:line="240" w:lineRule="auto"/>
                        <w:contextualSpacing/>
                        <w:jc w:val="both"/>
                        <w:rPr>
                          <w:rStyle w:val="hgkelc"/>
                          <w:lang w:val="en-GB"/>
                        </w:rPr>
                      </w:pPr>
                    </w:p>
                    <w:p w14:paraId="024EB44A" w14:textId="77777777" w:rsidR="008D2AF6" w:rsidRDefault="008D2AF6" w:rsidP="008D2AF6">
                      <w:pPr>
                        <w:spacing w:after="0" w:line="240" w:lineRule="auto"/>
                        <w:contextualSpacing/>
                        <w:jc w:val="both"/>
                        <w:rPr>
                          <w:rStyle w:val="hgkelc"/>
                          <w:lang w:val="en-GB"/>
                        </w:rPr>
                      </w:pPr>
                      <w:r>
                        <w:rPr>
                          <w:rStyle w:val="hgkelc"/>
                          <w:lang w:val="en-GB"/>
                        </w:rPr>
                        <w:t>According to the four strategies selected:</w:t>
                      </w:r>
                    </w:p>
                    <w:p w14:paraId="20671D94" w14:textId="77777777" w:rsidR="008D2AF6" w:rsidRPr="000F64B0" w:rsidRDefault="008D2AF6" w:rsidP="0049679E">
                      <w:pPr>
                        <w:pStyle w:val="ListParagraph"/>
                        <w:numPr>
                          <w:ilvl w:val="0"/>
                          <w:numId w:val="5"/>
                        </w:numPr>
                        <w:spacing w:before="100" w:after="0" w:line="240" w:lineRule="auto"/>
                        <w:jc w:val="both"/>
                        <w:rPr>
                          <w:rStyle w:val="hgkelc"/>
                          <w:lang w:val="en-GB"/>
                        </w:rPr>
                      </w:pPr>
                      <w:r>
                        <w:rPr>
                          <w:rStyle w:val="hgkelc"/>
                          <w:lang w:val="en-GB"/>
                        </w:rPr>
                        <w:t>For food consumption, t</w:t>
                      </w:r>
                      <w:r w:rsidRPr="000F64B0">
                        <w:rPr>
                          <w:rStyle w:val="hgkelc"/>
                          <w:lang w:val="en-GB"/>
                        </w:rPr>
                        <w:t>here is no CAPEX or OPEX for a change in food consumption behaviour as we assume that a vegan diet is as expensive as the current average diet.</w:t>
                      </w:r>
                    </w:p>
                    <w:p w14:paraId="2EE66E11" w14:textId="77777777" w:rsidR="008D2AF6" w:rsidRPr="000F64B0" w:rsidRDefault="008D2AF6" w:rsidP="0049679E">
                      <w:pPr>
                        <w:pStyle w:val="ListParagraph"/>
                        <w:numPr>
                          <w:ilvl w:val="0"/>
                          <w:numId w:val="5"/>
                        </w:numPr>
                        <w:spacing w:before="100" w:after="0" w:line="240" w:lineRule="auto"/>
                        <w:jc w:val="both"/>
                        <w:rPr>
                          <w:rStyle w:val="hgkelc"/>
                          <w:lang w:val="en-GB"/>
                        </w:rPr>
                      </w:pPr>
                      <w:r>
                        <w:rPr>
                          <w:rStyle w:val="hgkelc"/>
                          <w:lang w:val="en-GB"/>
                        </w:rPr>
                        <w:t>For transport, a</w:t>
                      </w:r>
                      <w:r w:rsidRPr="000F64B0">
                        <w:rPr>
                          <w:rStyle w:val="hgkelc"/>
                          <w:lang w:val="en-GB"/>
                        </w:rPr>
                        <w:t xml:space="preserve"> CAPEX is required to purchase </w:t>
                      </w:r>
                      <w:r>
                        <w:rPr>
                          <w:rStyle w:val="hgkelc"/>
                          <w:lang w:val="en-GB"/>
                        </w:rPr>
                        <w:t>the 20% of electric</w:t>
                      </w:r>
                      <w:r w:rsidRPr="000F64B0">
                        <w:rPr>
                          <w:rStyle w:val="hgkelc"/>
                          <w:lang w:val="en-GB"/>
                        </w:rPr>
                        <w:t xml:space="preserve"> vehicles and install a private charging station</w:t>
                      </w:r>
                      <w:r>
                        <w:rPr>
                          <w:rStyle w:val="hgkelc"/>
                          <w:lang w:val="en-GB"/>
                        </w:rPr>
                        <w:t>. O</w:t>
                      </w:r>
                      <w:r w:rsidRPr="000F64B0">
                        <w:rPr>
                          <w:rStyle w:val="hgkelc"/>
                          <w:lang w:val="en-GB"/>
                        </w:rPr>
                        <w:t xml:space="preserve">PEX investments are necessary to charge these cars, provide the necessary operational and maintenance checks and replace the electrical battery after its usage lifetime. </w:t>
                      </w:r>
                    </w:p>
                    <w:p w14:paraId="59194E9A" w14:textId="77777777" w:rsidR="008D2AF6" w:rsidRDefault="008D2AF6" w:rsidP="0049679E">
                      <w:pPr>
                        <w:pStyle w:val="ListParagraph"/>
                        <w:numPr>
                          <w:ilvl w:val="0"/>
                          <w:numId w:val="5"/>
                        </w:numPr>
                        <w:spacing w:before="100" w:after="0" w:line="240" w:lineRule="auto"/>
                        <w:jc w:val="both"/>
                        <w:rPr>
                          <w:rStyle w:val="hgkelc"/>
                          <w:lang w:val="en-GB"/>
                        </w:rPr>
                      </w:pPr>
                      <w:r>
                        <w:rPr>
                          <w:rStyle w:val="hgkelc"/>
                          <w:lang w:val="en-GB"/>
                        </w:rPr>
                        <w:t xml:space="preserve">For </w:t>
                      </w:r>
                      <w:r w:rsidRPr="000F64B0">
                        <w:rPr>
                          <w:rStyle w:val="hgkelc"/>
                          <w:lang w:val="en-GB"/>
                        </w:rPr>
                        <w:t xml:space="preserve">the electricity sector, buying the BAT requires a CAPEX investment but there is no OPEX investment need. If no Jenson’s paradox is assumed, then OPEX investment would </w:t>
                      </w:r>
                      <w:proofErr w:type="gramStart"/>
                      <w:r w:rsidRPr="000F64B0">
                        <w:rPr>
                          <w:rStyle w:val="hgkelc"/>
                          <w:lang w:val="en-GB"/>
                        </w:rPr>
                        <w:t>actually be</w:t>
                      </w:r>
                      <w:proofErr w:type="gramEnd"/>
                      <w:r w:rsidRPr="000F64B0">
                        <w:rPr>
                          <w:rStyle w:val="hgkelc"/>
                          <w:lang w:val="en-GB"/>
                        </w:rPr>
                        <w:t xml:space="preserve"> negative, i.e., savings from reduced energy consumption. </w:t>
                      </w:r>
                    </w:p>
                    <w:p w14:paraId="3AE94E46" w14:textId="77777777" w:rsidR="008D2AF6" w:rsidRPr="00DE04FE" w:rsidRDefault="008D2AF6" w:rsidP="0049679E">
                      <w:pPr>
                        <w:pStyle w:val="ListParagraph"/>
                        <w:numPr>
                          <w:ilvl w:val="0"/>
                          <w:numId w:val="5"/>
                        </w:numPr>
                        <w:spacing w:before="100" w:after="0" w:line="240" w:lineRule="auto"/>
                        <w:jc w:val="both"/>
                        <w:rPr>
                          <w:rStyle w:val="hgkelc"/>
                          <w:lang w:val="en-GB"/>
                        </w:rPr>
                      </w:pPr>
                      <w:r w:rsidRPr="00DE04FE">
                        <w:rPr>
                          <w:rStyle w:val="hgkelc"/>
                          <w:lang w:val="en-GB"/>
                        </w:rPr>
                        <w:t>No heating CAPEX or OPEX</w:t>
                      </w:r>
                      <w:r>
                        <w:rPr>
                          <w:rStyle w:val="hgkelc"/>
                          <w:lang w:val="en-GB"/>
                        </w:rPr>
                        <w:t xml:space="preserve"> is returned by the model as lowering indoor temperature is just a behavioural measure that does not require any investment. </w:t>
                      </w:r>
                    </w:p>
                    <w:p w14:paraId="236CB596" w14:textId="77777777" w:rsidR="008D2AF6" w:rsidRDefault="008D2AF6" w:rsidP="008D2AF6">
                      <w:pPr>
                        <w:spacing w:after="0" w:line="240" w:lineRule="auto"/>
                        <w:jc w:val="both"/>
                        <w:rPr>
                          <w:rStyle w:val="hgkelc"/>
                          <w:lang w:val="en-GB"/>
                        </w:rPr>
                      </w:pPr>
                    </w:p>
                    <w:p w14:paraId="1C7F1363" w14:textId="77777777" w:rsidR="008D2AF6" w:rsidRDefault="008D2AF6" w:rsidP="008D2AF6">
                      <w:pPr>
                        <w:spacing w:after="0" w:line="240" w:lineRule="auto"/>
                        <w:contextualSpacing/>
                        <w:jc w:val="both"/>
                        <w:rPr>
                          <w:rStyle w:val="hgkelc"/>
                          <w:lang w:val="en-GB"/>
                        </w:rPr>
                      </w:pPr>
                      <w:r>
                        <w:rPr>
                          <w:lang w:val="en-GB"/>
                        </w:rPr>
                        <w:t xml:space="preserve">Our investment plan shows </w:t>
                      </w:r>
                      <w:r w:rsidRPr="008E7494">
                        <w:rPr>
                          <w:rStyle w:val="hgkelc"/>
                          <w:lang w:val="en-GB"/>
                        </w:rPr>
                        <w:t>waterfall graphs with only three columns</w:t>
                      </w:r>
                      <w:r>
                        <w:rPr>
                          <w:rStyle w:val="hgkelc"/>
                          <w:lang w:val="en-GB"/>
                        </w:rPr>
                        <w:t xml:space="preserve"> (total, </w:t>
                      </w:r>
                      <w:r w:rsidRPr="00702388">
                        <w:rPr>
                          <w:rStyle w:val="hgkelc"/>
                          <w:lang w:val="en-GB"/>
                        </w:rPr>
                        <w:t xml:space="preserve">vehicles, </w:t>
                      </w:r>
                      <w:r>
                        <w:rPr>
                          <w:rStyle w:val="hgkelc"/>
                          <w:lang w:val="en-GB"/>
                        </w:rPr>
                        <w:t>electricity)</w:t>
                      </w:r>
                      <w:r w:rsidRPr="008E7494">
                        <w:rPr>
                          <w:rStyle w:val="hgkelc"/>
                          <w:lang w:val="en-GB"/>
                        </w:rPr>
                        <w:t xml:space="preserve">. </w:t>
                      </w:r>
                    </w:p>
                    <w:p w14:paraId="521772EA" w14:textId="77777777" w:rsidR="008D2AF6" w:rsidRDefault="008D2AF6" w:rsidP="0049679E">
                      <w:pPr>
                        <w:pStyle w:val="ListParagraph"/>
                        <w:numPr>
                          <w:ilvl w:val="0"/>
                          <w:numId w:val="7"/>
                        </w:numPr>
                        <w:spacing w:before="100" w:after="0" w:line="240" w:lineRule="auto"/>
                        <w:jc w:val="both"/>
                        <w:rPr>
                          <w:rStyle w:val="hgkelc"/>
                          <w:lang w:val="en-GB"/>
                        </w:rPr>
                      </w:pPr>
                      <w:r>
                        <w:rPr>
                          <w:rStyle w:val="hgkelc"/>
                          <w:lang w:val="en-GB"/>
                        </w:rPr>
                        <w:t>T</w:t>
                      </w:r>
                      <w:r w:rsidRPr="00E016F9">
                        <w:rPr>
                          <w:rStyle w:val="hgkelc"/>
                          <w:lang w:val="en-GB"/>
                        </w:rPr>
                        <w:t>he utility company</w:t>
                      </w:r>
                      <w:r>
                        <w:rPr>
                          <w:rStyle w:val="hgkelc"/>
                          <w:lang w:val="en-GB"/>
                        </w:rPr>
                        <w:t xml:space="preserve"> is </w:t>
                      </w:r>
                      <w:r w:rsidRPr="00E016F9">
                        <w:rPr>
                          <w:rStyle w:val="hgkelc"/>
                          <w:lang w:val="en-GB"/>
                        </w:rPr>
                        <w:t xml:space="preserve">not required to make investments. </w:t>
                      </w:r>
                    </w:p>
                    <w:p w14:paraId="68A04C74" w14:textId="77777777" w:rsidR="008D2AF6" w:rsidRDefault="008D2AF6" w:rsidP="0049679E">
                      <w:pPr>
                        <w:pStyle w:val="ListParagraph"/>
                        <w:numPr>
                          <w:ilvl w:val="0"/>
                          <w:numId w:val="7"/>
                        </w:numPr>
                        <w:spacing w:before="100" w:after="0" w:line="240" w:lineRule="auto"/>
                        <w:jc w:val="both"/>
                        <w:rPr>
                          <w:rStyle w:val="hgkelc"/>
                          <w:lang w:val="en-GB"/>
                        </w:rPr>
                      </w:pPr>
                      <w:r>
                        <w:rPr>
                          <w:rStyle w:val="hgkelc"/>
                          <w:lang w:val="en-GB"/>
                        </w:rPr>
                        <w:t>The public transport company does not need to make any investment.</w:t>
                      </w:r>
                    </w:p>
                    <w:p w14:paraId="68A1E8FC" w14:textId="77777777" w:rsidR="008D2AF6" w:rsidRDefault="008D2AF6" w:rsidP="0049679E">
                      <w:pPr>
                        <w:pStyle w:val="ListParagraph"/>
                        <w:numPr>
                          <w:ilvl w:val="0"/>
                          <w:numId w:val="7"/>
                        </w:numPr>
                        <w:spacing w:before="100" w:after="0" w:line="240" w:lineRule="auto"/>
                        <w:jc w:val="both"/>
                        <w:rPr>
                          <w:rStyle w:val="hgkelc"/>
                          <w:lang w:val="en-GB"/>
                        </w:rPr>
                      </w:pPr>
                      <w:r w:rsidRPr="00E016F9">
                        <w:rPr>
                          <w:rStyle w:val="hgkelc"/>
                          <w:lang w:val="en-GB"/>
                        </w:rPr>
                        <w:t>CAPEX and OPEX investments emerge for</w:t>
                      </w:r>
                      <w:r>
                        <w:rPr>
                          <w:rStyle w:val="hgkelc"/>
                          <w:lang w:val="en-GB"/>
                        </w:rPr>
                        <w:t xml:space="preserve"> the change in vehicles for citizens – tenants, citizens – landlords and </w:t>
                      </w:r>
                      <w:proofErr w:type="gramStart"/>
                      <w:r>
                        <w:rPr>
                          <w:rStyle w:val="hgkelc"/>
                          <w:lang w:val="en-GB"/>
                        </w:rPr>
                        <w:t>home owners</w:t>
                      </w:r>
                      <w:proofErr w:type="gramEnd"/>
                      <w:r>
                        <w:rPr>
                          <w:rStyle w:val="hgkelc"/>
                          <w:lang w:val="en-GB"/>
                        </w:rPr>
                        <w:t xml:space="preserve">, and </w:t>
                      </w:r>
                      <w:r w:rsidRPr="00E016F9">
                        <w:rPr>
                          <w:rStyle w:val="hgkelc"/>
                          <w:lang w:val="en-GB"/>
                        </w:rPr>
                        <w:t xml:space="preserve">private businesses, as </w:t>
                      </w:r>
                      <w:r>
                        <w:rPr>
                          <w:rStyle w:val="hgkelc"/>
                          <w:lang w:val="en-GB"/>
                        </w:rPr>
                        <w:t>each of these actors own some of the</w:t>
                      </w:r>
                      <w:r w:rsidRPr="00E016F9">
                        <w:rPr>
                          <w:rStyle w:val="hgkelc"/>
                          <w:lang w:val="en-GB"/>
                        </w:rPr>
                        <w:t xml:space="preserve"> vehicles </w:t>
                      </w:r>
                      <w:r>
                        <w:rPr>
                          <w:rStyle w:val="hgkelc"/>
                          <w:lang w:val="en-GB"/>
                        </w:rPr>
                        <w:t>currently in the vehicle fleet</w:t>
                      </w:r>
                      <w:r w:rsidRPr="00E016F9">
                        <w:rPr>
                          <w:rStyle w:val="hgkelc"/>
                          <w:lang w:val="en-GB"/>
                        </w:rPr>
                        <w:t xml:space="preserve">. </w:t>
                      </w:r>
                    </w:p>
                    <w:p w14:paraId="26740C80" w14:textId="77777777" w:rsidR="008D2AF6" w:rsidRDefault="008D2AF6" w:rsidP="0049679E">
                      <w:pPr>
                        <w:pStyle w:val="ListParagraph"/>
                        <w:numPr>
                          <w:ilvl w:val="0"/>
                          <w:numId w:val="7"/>
                        </w:numPr>
                        <w:spacing w:before="100" w:after="0" w:line="240" w:lineRule="auto"/>
                        <w:jc w:val="both"/>
                        <w:rPr>
                          <w:rStyle w:val="hgkelc"/>
                          <w:lang w:val="en-GB"/>
                        </w:rPr>
                      </w:pPr>
                      <w:r w:rsidRPr="00E016F9">
                        <w:rPr>
                          <w:rStyle w:val="hgkelc"/>
                          <w:lang w:val="en-GB"/>
                        </w:rPr>
                        <w:t>A CAPEX investment need also emerges for the municipality</w:t>
                      </w:r>
                      <w:r>
                        <w:rPr>
                          <w:rStyle w:val="hgkelc"/>
                          <w:lang w:val="en-GB"/>
                        </w:rPr>
                        <w:t xml:space="preserve"> for </w:t>
                      </w:r>
                      <w:r w:rsidRPr="00E016F9">
                        <w:rPr>
                          <w:rStyle w:val="hgkelc"/>
                          <w:lang w:val="en-GB"/>
                        </w:rPr>
                        <w:t xml:space="preserve">the installation of a public charging network for the 20% of the car fleet that will be electrified. </w:t>
                      </w:r>
                    </w:p>
                    <w:p w14:paraId="4D105521" w14:textId="77777777" w:rsidR="008D2AF6" w:rsidRPr="00E016F9" w:rsidRDefault="008D2AF6" w:rsidP="0049679E">
                      <w:pPr>
                        <w:pStyle w:val="ListParagraph"/>
                        <w:numPr>
                          <w:ilvl w:val="0"/>
                          <w:numId w:val="7"/>
                        </w:numPr>
                        <w:spacing w:before="100" w:after="0" w:line="240" w:lineRule="auto"/>
                        <w:jc w:val="both"/>
                        <w:rPr>
                          <w:lang w:val="en-GB"/>
                        </w:rPr>
                      </w:pPr>
                      <w:r>
                        <w:rPr>
                          <w:rStyle w:val="hgkelc"/>
                          <w:lang w:val="en-GB"/>
                        </w:rPr>
                        <w:t xml:space="preserve">A CAPEX investment emerges for the municipal housing company: it needs to provide the residential charger for the electric vehicles and the BAT household appliances in the dwellings it owns. </w:t>
                      </w:r>
                    </w:p>
                  </w:txbxContent>
                </v:textbox>
                <w10:wrap type="square"/>
              </v:shape>
            </w:pict>
          </mc:Fallback>
        </mc:AlternateContent>
      </w:r>
    </w:p>
    <w:p w14:paraId="5B35356F" w14:textId="77777777" w:rsidR="0070079A" w:rsidRDefault="0070079A" w:rsidP="00E20E52">
      <w:pPr>
        <w:spacing w:after="0" w:line="360" w:lineRule="auto"/>
        <w:contextualSpacing/>
        <w:jc w:val="both"/>
        <w:rPr>
          <w:rStyle w:val="hgkelc"/>
          <w:lang w:val="en-US"/>
        </w:rPr>
      </w:pPr>
    </w:p>
    <w:p w14:paraId="463838FF" w14:textId="77777777" w:rsidR="0070079A" w:rsidRDefault="0070079A" w:rsidP="00E20E52">
      <w:pPr>
        <w:spacing w:after="0" w:line="360" w:lineRule="auto"/>
        <w:contextualSpacing/>
        <w:jc w:val="both"/>
        <w:rPr>
          <w:rStyle w:val="hgkelc"/>
          <w:lang w:val="en-US"/>
        </w:rPr>
      </w:pPr>
    </w:p>
    <w:p w14:paraId="7DF211B2" w14:textId="77777777" w:rsidR="0070079A" w:rsidRDefault="0070079A" w:rsidP="00E20E52">
      <w:pPr>
        <w:spacing w:after="0" w:line="360" w:lineRule="auto"/>
        <w:contextualSpacing/>
        <w:jc w:val="both"/>
        <w:rPr>
          <w:rStyle w:val="hgkelc"/>
          <w:lang w:val="en-US"/>
        </w:rPr>
      </w:pPr>
    </w:p>
    <w:p w14:paraId="21970F9C" w14:textId="77777777" w:rsidR="0070079A" w:rsidRDefault="0070079A" w:rsidP="00E20E52">
      <w:pPr>
        <w:spacing w:after="0" w:line="360" w:lineRule="auto"/>
        <w:contextualSpacing/>
        <w:jc w:val="both"/>
        <w:rPr>
          <w:rStyle w:val="hgkelc"/>
          <w:lang w:val="en-US"/>
        </w:rPr>
      </w:pPr>
    </w:p>
    <w:p w14:paraId="6A409E0D" w14:textId="77777777" w:rsidR="0070079A" w:rsidRDefault="0070079A" w:rsidP="00E20E52">
      <w:pPr>
        <w:spacing w:after="0" w:line="360" w:lineRule="auto"/>
        <w:contextualSpacing/>
        <w:jc w:val="both"/>
        <w:rPr>
          <w:rStyle w:val="hgkelc"/>
          <w:lang w:val="en-US"/>
        </w:rPr>
      </w:pPr>
    </w:p>
    <w:p w14:paraId="27295918" w14:textId="77777777" w:rsidR="0070079A" w:rsidRDefault="0070079A" w:rsidP="00E20E52">
      <w:pPr>
        <w:spacing w:after="0" w:line="360" w:lineRule="auto"/>
        <w:contextualSpacing/>
        <w:jc w:val="both"/>
        <w:rPr>
          <w:rStyle w:val="hgkelc"/>
          <w:lang w:val="en-US"/>
        </w:rPr>
      </w:pPr>
    </w:p>
    <w:p w14:paraId="0E0E2C4E" w14:textId="77777777" w:rsidR="0070079A" w:rsidRDefault="0070079A" w:rsidP="00E20E52">
      <w:pPr>
        <w:spacing w:after="0" w:line="360" w:lineRule="auto"/>
        <w:contextualSpacing/>
        <w:jc w:val="both"/>
        <w:rPr>
          <w:rStyle w:val="hgkelc"/>
          <w:lang w:val="en-US"/>
        </w:rPr>
      </w:pPr>
    </w:p>
    <w:p w14:paraId="678FA6A0" w14:textId="77777777" w:rsidR="0070079A" w:rsidRDefault="0070079A" w:rsidP="00E20E52">
      <w:pPr>
        <w:spacing w:after="0" w:line="360" w:lineRule="auto"/>
        <w:contextualSpacing/>
        <w:jc w:val="both"/>
        <w:rPr>
          <w:rStyle w:val="hgkelc"/>
          <w:lang w:val="en-US"/>
        </w:rPr>
      </w:pPr>
    </w:p>
    <w:p w14:paraId="2A5DA2D0" w14:textId="77777777" w:rsidR="0070079A" w:rsidRDefault="0070079A" w:rsidP="00E20E52">
      <w:pPr>
        <w:spacing w:after="0" w:line="360" w:lineRule="auto"/>
        <w:contextualSpacing/>
        <w:jc w:val="both"/>
        <w:rPr>
          <w:rStyle w:val="hgkelc"/>
          <w:lang w:val="en-US"/>
        </w:rPr>
      </w:pPr>
    </w:p>
    <w:p w14:paraId="41D7280B" w14:textId="098F38EA" w:rsidR="0070079A" w:rsidRDefault="008D2AF6" w:rsidP="00E20E52">
      <w:pPr>
        <w:spacing w:after="0" w:line="360" w:lineRule="auto"/>
        <w:contextualSpacing/>
        <w:jc w:val="both"/>
        <w:rPr>
          <w:lang w:val="en-US"/>
        </w:rPr>
      </w:pPr>
      <w:r w:rsidRPr="00AF0AFB">
        <w:rPr>
          <w:rStyle w:val="hgkelc"/>
          <w:noProof/>
          <w:lang w:val="en-US"/>
        </w:rPr>
        <mc:AlternateContent>
          <mc:Choice Requires="wps">
            <w:drawing>
              <wp:anchor distT="0" distB="0" distL="114300" distR="114300" simplePos="0" relativeHeight="251658246" behindDoc="0" locked="0" layoutInCell="1" allowOverlap="1" wp14:anchorId="43883BB3" wp14:editId="5B6E04FD">
                <wp:simplePos x="0" y="0"/>
                <wp:positionH relativeFrom="margin">
                  <wp:posOffset>-508000</wp:posOffset>
                </wp:positionH>
                <wp:positionV relativeFrom="page">
                  <wp:posOffset>935990</wp:posOffset>
                </wp:positionV>
                <wp:extent cx="6696710" cy="8362315"/>
                <wp:effectExtent l="0" t="0" r="27940" b="19685"/>
                <wp:wrapSquare wrapText="bothSides"/>
                <wp:docPr id="727900626" name="Text Box 727900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710" cy="8362315"/>
                        </a:xfrm>
                        <a:prstGeom prst="rect">
                          <a:avLst/>
                        </a:prstGeom>
                        <a:solidFill>
                          <a:srgbClr val="FFFFFF"/>
                        </a:solidFill>
                        <a:ln w="9525">
                          <a:solidFill>
                            <a:srgbClr val="000000"/>
                          </a:solidFill>
                          <a:miter lim="800000"/>
                          <a:headEnd/>
                          <a:tailEnd/>
                        </a:ln>
                      </wps:spPr>
                      <wps:txbx>
                        <w:txbxContent>
                          <w:p w14:paraId="3A3A95B4" w14:textId="55B72F5A" w:rsidR="008D2AF6" w:rsidRPr="00FA56C7" w:rsidRDefault="008D2AF6" w:rsidP="008D2AF6">
                            <w:pPr>
                              <w:spacing w:after="0" w:line="240" w:lineRule="auto"/>
                              <w:contextualSpacing/>
                              <w:jc w:val="both"/>
                              <w:rPr>
                                <w:b/>
                                <w:bCs/>
                                <w:lang w:val="en-GB"/>
                              </w:rPr>
                            </w:pPr>
                            <w:r>
                              <w:rPr>
                                <w:b/>
                                <w:bCs/>
                                <w:lang w:val="en-GB"/>
                              </w:rPr>
                              <w:t xml:space="preserve">Box 2. An example of what happens when a climate mitigation action is </w:t>
                            </w:r>
                            <w:proofErr w:type="gramStart"/>
                            <w:r>
                              <w:rPr>
                                <w:b/>
                                <w:bCs/>
                                <w:lang w:val="en-GB"/>
                              </w:rPr>
                              <w:t>selected</w:t>
                            </w:r>
                            <w:proofErr w:type="gramEnd"/>
                          </w:p>
                          <w:p w14:paraId="047AB1A3" w14:textId="77777777" w:rsidR="008D2AF6" w:rsidRDefault="008D2AF6" w:rsidP="008D2AF6">
                            <w:pPr>
                              <w:spacing w:after="0" w:line="240" w:lineRule="auto"/>
                              <w:contextualSpacing/>
                              <w:jc w:val="both"/>
                              <w:rPr>
                                <w:lang w:val="en-GB"/>
                              </w:rPr>
                            </w:pPr>
                          </w:p>
                          <w:p w14:paraId="33F100DF" w14:textId="17CEA033" w:rsidR="00474DF7" w:rsidRDefault="008D2AF6" w:rsidP="002D0536">
                            <w:pPr>
                              <w:spacing w:after="0" w:line="240" w:lineRule="auto"/>
                              <w:contextualSpacing/>
                              <w:jc w:val="both"/>
                              <w:rPr>
                                <w:lang w:val="en-GB"/>
                              </w:rPr>
                            </w:pPr>
                            <w:r>
                              <w:rPr>
                                <w:lang w:val="en-GB"/>
                              </w:rPr>
                              <w:t xml:space="preserve">Let’s say that the city of Borås believes that 40% of its car fleet by 2030 will consist of fully electric cars and the electric cars lever is adjusted to 40%. The model then assumes that those electric cars will replace fossil fuelled cars and that </w:t>
                            </w:r>
                            <w:r w:rsidR="002D0536">
                              <w:rPr>
                                <w:lang w:val="en-GB"/>
                              </w:rPr>
                              <w:t>there are no direct climate emissions within the territory boundaries of the city from these electric cars.</w:t>
                            </w:r>
                          </w:p>
                          <w:p w14:paraId="0AF49769" w14:textId="77777777" w:rsidR="00474DF7" w:rsidRDefault="00474DF7" w:rsidP="002D0536">
                            <w:pPr>
                              <w:spacing w:after="0" w:line="240" w:lineRule="auto"/>
                              <w:contextualSpacing/>
                              <w:jc w:val="both"/>
                              <w:rPr>
                                <w:lang w:val="en-GB"/>
                              </w:rPr>
                            </w:pPr>
                          </w:p>
                          <w:p w14:paraId="60074DB1" w14:textId="3F5ABD34" w:rsidR="004A3A13" w:rsidRPr="004A3A13" w:rsidRDefault="004A3A13" w:rsidP="002D0536">
                            <w:pPr>
                              <w:spacing w:after="0" w:line="240" w:lineRule="auto"/>
                              <w:contextualSpacing/>
                              <w:jc w:val="both"/>
                              <w:rPr>
                                <w:b/>
                                <w:bCs/>
                                <w:lang w:val="en-GB"/>
                              </w:rPr>
                            </w:pPr>
                            <w:r w:rsidRPr="004A3A13">
                              <w:rPr>
                                <w:b/>
                                <w:bCs/>
                                <w:lang w:val="en-GB"/>
                              </w:rPr>
                              <w:t>Emissions calculations</w:t>
                            </w:r>
                          </w:p>
                          <w:p w14:paraId="7AD50429" w14:textId="6455588F" w:rsidR="005B0376" w:rsidRDefault="00474DF7" w:rsidP="008C6BC8">
                            <w:pPr>
                              <w:spacing w:after="0" w:line="240" w:lineRule="auto"/>
                              <w:contextualSpacing/>
                              <w:jc w:val="both"/>
                              <w:rPr>
                                <w:lang w:val="en-GB"/>
                              </w:rPr>
                            </w:pPr>
                            <w:r>
                              <w:rPr>
                                <w:lang w:val="en-GB"/>
                              </w:rPr>
                              <w:t>Emissions from cars in Borås in 2021 (latest baseline) is 98 553 tCO</w:t>
                            </w:r>
                            <w:r w:rsidRPr="00474DF7">
                              <w:rPr>
                                <w:vertAlign w:val="subscript"/>
                                <w:lang w:val="en-GB"/>
                              </w:rPr>
                              <w:t>2</w:t>
                            </w:r>
                            <w:r>
                              <w:rPr>
                                <w:lang w:val="en-GB"/>
                              </w:rPr>
                              <w:t>e</w:t>
                            </w:r>
                            <w:r w:rsidR="008C6BC8">
                              <w:rPr>
                                <w:lang w:val="en-GB"/>
                              </w:rPr>
                              <w:t xml:space="preserve">. In the baseline scenario, these emissions are, with no action, expected to grow with projected population growth in Borås (4,4% in total between 2021 and 2030) to 102 936 </w:t>
                            </w:r>
                            <w:r w:rsidR="008C6BC8" w:rsidRPr="008C6BC8">
                              <w:rPr>
                                <w:lang w:val="en-GB"/>
                              </w:rPr>
                              <w:t>tCO</w:t>
                            </w:r>
                            <w:r w:rsidR="008C6BC8" w:rsidRPr="008C6BC8">
                              <w:rPr>
                                <w:vertAlign w:val="subscript"/>
                                <w:lang w:val="en-GB"/>
                              </w:rPr>
                              <w:t>2</w:t>
                            </w:r>
                            <w:r w:rsidR="008C6BC8" w:rsidRPr="008C6BC8">
                              <w:rPr>
                                <w:lang w:val="en-GB"/>
                              </w:rPr>
                              <w:t>e</w:t>
                            </w:r>
                            <w:r w:rsidR="008C6BC8">
                              <w:rPr>
                                <w:lang w:val="en-GB"/>
                              </w:rPr>
                              <w:t xml:space="preserve">. A 40% reduction of emitting cars means that only 61 762 </w:t>
                            </w:r>
                            <w:r w:rsidR="008C6BC8" w:rsidRPr="008C6BC8">
                              <w:rPr>
                                <w:lang w:val="en-GB"/>
                              </w:rPr>
                              <w:t>tCO</w:t>
                            </w:r>
                            <w:r w:rsidR="008C6BC8" w:rsidRPr="008C6BC8">
                              <w:rPr>
                                <w:vertAlign w:val="subscript"/>
                                <w:lang w:val="en-GB"/>
                              </w:rPr>
                              <w:t>2</w:t>
                            </w:r>
                            <w:r w:rsidR="008C6BC8" w:rsidRPr="008C6BC8">
                              <w:rPr>
                                <w:lang w:val="en-GB"/>
                              </w:rPr>
                              <w:t>e</w:t>
                            </w:r>
                            <w:r w:rsidR="008C6BC8">
                              <w:rPr>
                                <w:lang w:val="en-GB"/>
                              </w:rPr>
                              <w:t xml:space="preserve"> remains and that </w:t>
                            </w:r>
                            <w:r w:rsidR="0040057B">
                              <w:rPr>
                                <w:lang w:val="en-GB"/>
                              </w:rPr>
                              <w:t>41 174</w:t>
                            </w:r>
                            <w:r w:rsidR="008C6BC8">
                              <w:rPr>
                                <w:lang w:val="en-GB"/>
                              </w:rPr>
                              <w:t xml:space="preserve"> </w:t>
                            </w:r>
                            <w:r w:rsidR="008C6BC8" w:rsidRPr="008C6BC8">
                              <w:rPr>
                                <w:lang w:val="en-GB"/>
                              </w:rPr>
                              <w:t>tCO</w:t>
                            </w:r>
                            <w:r w:rsidR="008C6BC8" w:rsidRPr="008C6BC8">
                              <w:rPr>
                                <w:vertAlign w:val="subscript"/>
                                <w:lang w:val="en-GB"/>
                              </w:rPr>
                              <w:t>2</w:t>
                            </w:r>
                            <w:r w:rsidR="008C6BC8" w:rsidRPr="008C6BC8">
                              <w:rPr>
                                <w:lang w:val="en-GB"/>
                              </w:rPr>
                              <w:t>e</w:t>
                            </w:r>
                            <w:r w:rsidR="008C6BC8">
                              <w:rPr>
                                <w:lang w:val="en-GB"/>
                              </w:rPr>
                              <w:t xml:space="preserve"> have been mitigated with the climate action</w:t>
                            </w:r>
                            <w:r w:rsidR="0040057B">
                              <w:rPr>
                                <w:lang w:val="en-GB"/>
                              </w:rPr>
                              <w:t xml:space="preserve"> (compared to no</w:t>
                            </w:r>
                            <w:r w:rsidR="005B0376">
                              <w:rPr>
                                <w:lang w:val="en-GB"/>
                              </w:rPr>
                              <w:t xml:space="preserve"> </w:t>
                            </w:r>
                            <w:r w:rsidR="0040057B">
                              <w:rPr>
                                <w:lang w:val="en-GB"/>
                              </w:rPr>
                              <w:t>action)</w:t>
                            </w:r>
                            <w:r w:rsidR="008C6BC8">
                              <w:rPr>
                                <w:lang w:val="en-GB"/>
                              </w:rPr>
                              <w:t>.</w:t>
                            </w:r>
                            <w:r w:rsidR="005B0376">
                              <w:rPr>
                                <w:lang w:val="en-GB"/>
                              </w:rPr>
                              <w:t xml:space="preserve"> Contrasting this to the projected 2030 population in Borås (119 413), a total of 340 kg of </w:t>
                            </w:r>
                            <w:r w:rsidR="005B0376" w:rsidRPr="005B0376">
                              <w:rPr>
                                <w:lang w:val="en-GB"/>
                              </w:rPr>
                              <w:t>CO</w:t>
                            </w:r>
                            <w:r w:rsidR="005B0376" w:rsidRPr="005B0376">
                              <w:rPr>
                                <w:vertAlign w:val="subscript"/>
                                <w:lang w:val="en-GB"/>
                              </w:rPr>
                              <w:t>2</w:t>
                            </w:r>
                            <w:r w:rsidR="005B0376">
                              <w:rPr>
                                <w:lang w:val="en-GB"/>
                              </w:rPr>
                              <w:t xml:space="preserve"> equivalents per capita has been saved from the climate action. Instead of territorial emissions in Borås increasing (with population growth) by 4,4%, the emissions have now decreased by almost 12% and the city is now closer to reach its climate neutrality target by 2030!</w:t>
                            </w:r>
                          </w:p>
                          <w:p w14:paraId="028127C0" w14:textId="77777777" w:rsidR="005B0376" w:rsidRDefault="005B0376" w:rsidP="008C6BC8">
                            <w:pPr>
                              <w:spacing w:after="0" w:line="240" w:lineRule="auto"/>
                              <w:contextualSpacing/>
                              <w:jc w:val="both"/>
                              <w:rPr>
                                <w:lang w:val="en-GB"/>
                              </w:rPr>
                            </w:pPr>
                          </w:p>
                          <w:p w14:paraId="4043968E" w14:textId="6CD6B574" w:rsidR="004A3A13" w:rsidRPr="004A3A13" w:rsidRDefault="004A3A13" w:rsidP="008C6BC8">
                            <w:pPr>
                              <w:spacing w:after="0" w:line="240" w:lineRule="auto"/>
                              <w:contextualSpacing/>
                              <w:jc w:val="both"/>
                              <w:rPr>
                                <w:b/>
                                <w:bCs/>
                                <w:lang w:val="en-GB"/>
                              </w:rPr>
                            </w:pPr>
                            <w:r w:rsidRPr="004A3A13">
                              <w:rPr>
                                <w:b/>
                                <w:bCs/>
                                <w:lang w:val="en-GB"/>
                              </w:rPr>
                              <w:t>CAPEX calculations</w:t>
                            </w:r>
                          </w:p>
                          <w:p w14:paraId="03788770" w14:textId="6FC7D1C1" w:rsidR="00474DF7" w:rsidRDefault="00430320" w:rsidP="008C6BC8">
                            <w:pPr>
                              <w:spacing w:after="0" w:line="240" w:lineRule="auto"/>
                              <w:contextualSpacing/>
                              <w:jc w:val="both"/>
                              <w:rPr>
                                <w:lang w:val="en-GB"/>
                              </w:rPr>
                            </w:pPr>
                            <w:r>
                              <w:rPr>
                                <w:lang w:val="en-GB"/>
                              </w:rPr>
                              <w:t>To reach 40% electric cars in just 9 years (as 2021 is the baseline year), 4.4% (40%/9) of the car fleet must be replaced with electric cars ever year. We assume that the average life length of a car is 17 years so that 5.9% (1/17) of the car fleet is being replaced every year. This implies that 76% (4,4%/5,9%) of new sold cars each year from 2022-2030 must be electric. Total number of cars in Borås is 53 740 and if 1/17 is replaced every year, that means that 3 161 cars are being sold or used in the city. If 76% of these are electric, and an electric car costs 269 234 SEK more than a fossil fuelled car</w:t>
                            </w:r>
                            <w:r w:rsidR="00234DF5">
                              <w:rPr>
                                <w:lang w:val="en-GB"/>
                              </w:rPr>
                              <w:t xml:space="preserve"> (including the average cost for charging infrastructure per new car)</w:t>
                            </w:r>
                            <w:r>
                              <w:rPr>
                                <w:lang w:val="en-GB"/>
                              </w:rPr>
                              <w:t xml:space="preserve">, an additional investment to enable the transition of 643 million SEK (269 234*3 161*76%) is needed. This is then distributed to the city’s actors, </w:t>
                            </w:r>
                            <w:r w:rsidR="004A3A13">
                              <w:rPr>
                                <w:lang w:val="en-GB"/>
                              </w:rPr>
                              <w:t xml:space="preserve">where </w:t>
                            </w:r>
                            <w:r w:rsidR="00AC77CE">
                              <w:rPr>
                                <w:lang w:val="en-GB"/>
                              </w:rPr>
                              <w:t>84</w:t>
                            </w:r>
                            <w:r w:rsidR="004A3A13">
                              <w:rPr>
                                <w:lang w:val="en-GB"/>
                              </w:rPr>
                              <w:t>% of cars are owned by citizens. Thus</w:t>
                            </w:r>
                            <w:r w:rsidR="00FC3300">
                              <w:rPr>
                                <w:lang w:val="en-GB"/>
                              </w:rPr>
                              <w:t>,</w:t>
                            </w:r>
                            <w:r w:rsidR="004A3A13">
                              <w:rPr>
                                <w:lang w:val="en-GB"/>
                              </w:rPr>
                              <w:t xml:space="preserve"> the total additional investment cost (CAPEX) for citizens per year is </w:t>
                            </w:r>
                            <w:r w:rsidR="00AC77CE">
                              <w:rPr>
                                <w:lang w:val="en-GB"/>
                              </w:rPr>
                              <w:t xml:space="preserve">540 </w:t>
                            </w:r>
                            <w:r w:rsidR="004A3A13">
                              <w:rPr>
                                <w:lang w:val="en-GB"/>
                              </w:rPr>
                              <w:t>million SEK. Dividing this with the population in 2030</w:t>
                            </w:r>
                            <w:r w:rsidR="00FC3300">
                              <w:rPr>
                                <w:lang w:val="en-GB"/>
                              </w:rPr>
                              <w:t xml:space="preserve">, citizens will need to spend on average </w:t>
                            </w:r>
                            <w:r w:rsidR="007109C1">
                              <w:rPr>
                                <w:lang w:val="en-GB"/>
                              </w:rPr>
                              <w:t xml:space="preserve">4 </w:t>
                            </w:r>
                            <w:r w:rsidR="00AC77CE">
                              <w:rPr>
                                <w:lang w:val="en-GB"/>
                              </w:rPr>
                              <w:t>518</w:t>
                            </w:r>
                            <w:r w:rsidR="00FC3300">
                              <w:rPr>
                                <w:lang w:val="en-GB"/>
                              </w:rPr>
                              <w:t xml:space="preserve"> SEK extra per year and person or </w:t>
                            </w:r>
                            <w:r w:rsidR="00AC77CE">
                              <w:rPr>
                                <w:lang w:val="en-GB"/>
                              </w:rPr>
                              <w:t>41</w:t>
                            </w:r>
                            <w:r w:rsidR="007109C1">
                              <w:rPr>
                                <w:lang w:val="en-GB"/>
                              </w:rPr>
                              <w:t xml:space="preserve"> 000</w:t>
                            </w:r>
                            <w:r w:rsidR="00FC3300">
                              <w:rPr>
                                <w:lang w:val="en-GB"/>
                              </w:rPr>
                              <w:t xml:space="preserve"> SEK over the entire time</w:t>
                            </w:r>
                            <w:r w:rsidR="0070079A">
                              <w:rPr>
                                <w:lang w:val="en-GB"/>
                              </w:rPr>
                              <w:t>-</w:t>
                            </w:r>
                            <w:r w:rsidR="00FC3300">
                              <w:rPr>
                                <w:lang w:val="en-GB"/>
                              </w:rPr>
                              <w:t>period.</w:t>
                            </w:r>
                          </w:p>
                          <w:p w14:paraId="1565B147" w14:textId="0A7C2659" w:rsidR="008D2AF6" w:rsidRDefault="008D2AF6" w:rsidP="002D0536">
                            <w:pPr>
                              <w:spacing w:after="0" w:line="240" w:lineRule="auto"/>
                              <w:contextualSpacing/>
                              <w:jc w:val="both"/>
                              <w:rPr>
                                <w:lang w:val="en-GB"/>
                              </w:rPr>
                            </w:pPr>
                          </w:p>
                          <w:p w14:paraId="75F3F19E" w14:textId="342D5CFC" w:rsidR="004A3A13" w:rsidRPr="00AC77CE" w:rsidRDefault="004A3A13" w:rsidP="002D0536">
                            <w:pPr>
                              <w:spacing w:after="0" w:line="240" w:lineRule="auto"/>
                              <w:contextualSpacing/>
                              <w:jc w:val="both"/>
                              <w:rPr>
                                <w:b/>
                                <w:bCs/>
                                <w:i/>
                                <w:iCs/>
                                <w:lang w:val="en-GB"/>
                              </w:rPr>
                            </w:pPr>
                            <w:r w:rsidRPr="00AC77CE">
                              <w:rPr>
                                <w:b/>
                                <w:bCs/>
                                <w:i/>
                                <w:iCs/>
                                <w:lang w:val="en-GB"/>
                              </w:rPr>
                              <w:t>CAPEX considerations and flexibilities</w:t>
                            </w:r>
                          </w:p>
                          <w:p w14:paraId="3565F4B6" w14:textId="27FD48CE" w:rsidR="004A3A13" w:rsidRDefault="004A3A13" w:rsidP="002D0536">
                            <w:pPr>
                              <w:spacing w:after="0" w:line="240" w:lineRule="auto"/>
                              <w:contextualSpacing/>
                              <w:jc w:val="both"/>
                              <w:rPr>
                                <w:lang w:val="en-GB"/>
                              </w:rPr>
                            </w:pPr>
                            <w:r>
                              <w:rPr>
                                <w:lang w:val="en-GB"/>
                              </w:rPr>
                              <w:t>If a city is rather interested in the total investment cost and not just the additional cost (which subtracts the price of a petrol/diesel car), that can be specified in the assumptions (“</w:t>
                            </w:r>
                            <w:r w:rsidRPr="004A3A13">
                              <w:rPr>
                                <w:lang w:val="en-GB"/>
                              </w:rPr>
                              <w:t xml:space="preserve">Share of new electric cars causing early replacement of fossil </w:t>
                            </w:r>
                            <w:proofErr w:type="spellStart"/>
                            <w:r w:rsidRPr="004A3A13">
                              <w:rPr>
                                <w:lang w:val="en-GB"/>
                              </w:rPr>
                              <w:t>fueled</w:t>
                            </w:r>
                            <w:proofErr w:type="spellEnd"/>
                            <w:r w:rsidRPr="004A3A13">
                              <w:rPr>
                                <w:lang w:val="en-GB"/>
                              </w:rPr>
                              <w:t xml:space="preserve"> cars</w:t>
                            </w:r>
                            <w:r>
                              <w:rPr>
                                <w:lang w:val="en-GB"/>
                              </w:rPr>
                              <w:t>”). Please note that if the lever for electric cars is above 53%, this assumption needs to be changed as it will not be possible to reach such fast electrification without retiring existing cars. Please also note that there are likely going to be plug-in hybrids and hydrogen cars in the fleet. Also, if the user believes that the price if electric cars will decline over time, that can be specified in the assumptions (“</w:t>
                            </w:r>
                            <w:r w:rsidRPr="004A3A13">
                              <w:rPr>
                                <w:lang w:val="en-GB"/>
                              </w:rPr>
                              <w:t>Electric vehicle new price in 2030 compared to today</w:t>
                            </w:r>
                            <w:r>
                              <w:rPr>
                                <w:lang w:val="en-GB"/>
                              </w:rPr>
                              <w:t>”). It is also possible to adjust other key assumptions, such as the price of electric cars, the share of the costs borne by citizens or the replacement rate of cars.</w:t>
                            </w:r>
                          </w:p>
                          <w:p w14:paraId="0E78D6E9" w14:textId="77777777" w:rsidR="004A3A13" w:rsidRDefault="004A3A13" w:rsidP="002D0536">
                            <w:pPr>
                              <w:spacing w:after="0" w:line="240" w:lineRule="auto"/>
                              <w:contextualSpacing/>
                              <w:jc w:val="both"/>
                              <w:rPr>
                                <w:lang w:val="en-GB"/>
                              </w:rPr>
                            </w:pPr>
                          </w:p>
                          <w:p w14:paraId="48AD2E93" w14:textId="5AAA17F6" w:rsidR="004A3A13" w:rsidRPr="004A3A13" w:rsidRDefault="004A3A13" w:rsidP="002D0536">
                            <w:pPr>
                              <w:spacing w:after="0" w:line="240" w:lineRule="auto"/>
                              <w:contextualSpacing/>
                              <w:jc w:val="both"/>
                              <w:rPr>
                                <w:b/>
                                <w:bCs/>
                                <w:lang w:val="en-GB"/>
                              </w:rPr>
                            </w:pPr>
                            <w:r w:rsidRPr="004A3A13">
                              <w:rPr>
                                <w:b/>
                                <w:bCs/>
                                <w:lang w:val="en-GB"/>
                              </w:rPr>
                              <w:t>OPEX calculations</w:t>
                            </w:r>
                          </w:p>
                          <w:p w14:paraId="56CCD26C" w14:textId="6A1BAF24" w:rsidR="00234DF5" w:rsidRDefault="00234DF5" w:rsidP="002D0536">
                            <w:pPr>
                              <w:spacing w:after="0" w:line="240" w:lineRule="auto"/>
                              <w:contextualSpacing/>
                              <w:jc w:val="both"/>
                              <w:rPr>
                                <w:lang w:val="en-GB"/>
                              </w:rPr>
                            </w:pPr>
                            <w:r>
                              <w:rPr>
                                <w:lang w:val="en-GB"/>
                              </w:rPr>
                              <w:t xml:space="preserve">The operational expenses of an electric car consist primarily of the electricity as a fuel, but also a saving from not having to use petrol or diesel. Using assumptions of 0,4 SEK to drive 1 km and a total of 11 000 </w:t>
                            </w:r>
                            <w:proofErr w:type="spellStart"/>
                            <w:r>
                              <w:rPr>
                                <w:lang w:val="en-GB"/>
                              </w:rPr>
                              <w:t>kilometers</w:t>
                            </w:r>
                            <w:proofErr w:type="spellEnd"/>
                            <w:r>
                              <w:rPr>
                                <w:lang w:val="en-GB"/>
                              </w:rPr>
                              <w:t xml:space="preserve"> being driven by the average car 4 477 will be spent on electricity per year for the average car, compared to a saving of 15 945 SEK that would have been spent on diesel and petrol (similarly derived from the assumptions</w:t>
                            </w:r>
                            <w:r w:rsidR="000E4121">
                              <w:rPr>
                                <w:lang w:val="en-GB"/>
                              </w:rPr>
                              <w:t>). In 2022, the total operation saving would then be 27 million SEK (3 161 cars sold * 76% share electric cars * 11 468 SEK in lower cost per year (15 945 savings in petrol minus 4 477 cost of electricity)). In 2023, another set of electric cars will be on the market and the total saving would reach 55 million SEK</w:t>
                            </w:r>
                            <w:r w:rsidR="007109C1">
                              <w:rPr>
                                <w:lang w:val="en-GB"/>
                              </w:rPr>
                              <w:t xml:space="preserve"> and accumulate over time. Following a similar logic as above, the total operational saving per capita for Borås from 2022-2030 would be about 8 </w:t>
                            </w:r>
                            <w:r w:rsidR="00AC77CE">
                              <w:rPr>
                                <w:lang w:val="en-GB"/>
                              </w:rPr>
                              <w:t>7</w:t>
                            </w:r>
                            <w:r w:rsidR="007109C1">
                              <w:rPr>
                                <w:lang w:val="en-GB"/>
                              </w:rPr>
                              <w:t xml:space="preserve">00 SEK. This is clearly lower than the 38 000 SEK that will be invested as the benefits from lower costs after 2030 are not </w:t>
                            </w:r>
                            <w:proofErr w:type="gramStart"/>
                            <w:r w:rsidR="007109C1">
                              <w:rPr>
                                <w:lang w:val="en-GB"/>
                              </w:rPr>
                              <w:t>taken into account</w:t>
                            </w:r>
                            <w:proofErr w:type="gramEnd"/>
                            <w:r w:rsidR="007109C1">
                              <w:rPr>
                                <w:lang w:val="en-GB"/>
                              </w:rPr>
                              <w:t xml:space="preserve"> in this model.</w:t>
                            </w:r>
                          </w:p>
                          <w:p w14:paraId="3F369C4C" w14:textId="77777777" w:rsidR="00234DF5" w:rsidRDefault="00234DF5" w:rsidP="002D0536">
                            <w:pPr>
                              <w:spacing w:after="0" w:line="240" w:lineRule="auto"/>
                              <w:contextualSpacing/>
                              <w:jc w:val="both"/>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83BB3" id="Text Box 727900626" o:spid="_x0000_s1035" type="#_x0000_t202" style="position:absolute;left:0;text-align:left;margin-left:-40pt;margin-top:73.7pt;width:527.3pt;height:658.4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">
                <v:textbox>
                  <w:txbxContent>
                    <w:p w14:paraId="3A3A95B4" w14:textId="55B72F5A" w:rsidR="008D2AF6" w:rsidRPr="00FA56C7" w:rsidRDefault="008D2AF6" w:rsidP="008D2AF6">
                      <w:pPr>
                        <w:spacing w:after="0" w:line="240" w:lineRule="auto"/>
                        <w:contextualSpacing/>
                        <w:jc w:val="both"/>
                        <w:rPr>
                          <w:b/>
                          <w:bCs/>
                          <w:lang w:val="en-GB"/>
                        </w:rPr>
                      </w:pPr>
                      <w:r>
                        <w:rPr>
                          <w:b/>
                          <w:bCs/>
                          <w:lang w:val="en-GB"/>
                        </w:rPr>
                        <w:t xml:space="preserve">Box 2. An example of what happens when a climate mitigation action is </w:t>
                      </w:r>
                      <w:proofErr w:type="gramStart"/>
                      <w:r>
                        <w:rPr>
                          <w:b/>
                          <w:bCs/>
                          <w:lang w:val="en-GB"/>
                        </w:rPr>
                        <w:t>selected</w:t>
                      </w:r>
                      <w:proofErr w:type="gramEnd"/>
                    </w:p>
                    <w:p w14:paraId="047AB1A3" w14:textId="77777777" w:rsidR="008D2AF6" w:rsidRDefault="008D2AF6" w:rsidP="008D2AF6">
                      <w:pPr>
                        <w:spacing w:after="0" w:line="240" w:lineRule="auto"/>
                        <w:contextualSpacing/>
                        <w:jc w:val="both"/>
                        <w:rPr>
                          <w:lang w:val="en-GB"/>
                        </w:rPr>
                      </w:pPr>
                    </w:p>
                    <w:p w14:paraId="33F100DF" w14:textId="17CEA033" w:rsidR="00474DF7" w:rsidRDefault="008D2AF6" w:rsidP="002D0536">
                      <w:pPr>
                        <w:spacing w:after="0" w:line="240" w:lineRule="auto"/>
                        <w:contextualSpacing/>
                        <w:jc w:val="both"/>
                        <w:rPr>
                          <w:lang w:val="en-GB"/>
                        </w:rPr>
                      </w:pPr>
                      <w:r>
                        <w:rPr>
                          <w:lang w:val="en-GB"/>
                        </w:rPr>
                        <w:t xml:space="preserve">Let’s say that the city of Borås believes that 40% of its car fleet by 2030 will consist of fully electric cars and the electric cars lever is adjusted to 40%. The model then assumes that those electric cars will replace fossil fuelled cars and that </w:t>
                      </w:r>
                      <w:r w:rsidR="002D0536">
                        <w:rPr>
                          <w:lang w:val="en-GB"/>
                        </w:rPr>
                        <w:t>there are no direct climate emissions within the territory boundaries of the city from these electric cars.</w:t>
                      </w:r>
                    </w:p>
                    <w:p w14:paraId="0AF49769" w14:textId="77777777" w:rsidR="00474DF7" w:rsidRDefault="00474DF7" w:rsidP="002D0536">
                      <w:pPr>
                        <w:spacing w:after="0" w:line="240" w:lineRule="auto"/>
                        <w:contextualSpacing/>
                        <w:jc w:val="both"/>
                        <w:rPr>
                          <w:lang w:val="en-GB"/>
                        </w:rPr>
                      </w:pPr>
                    </w:p>
                    <w:p w14:paraId="60074DB1" w14:textId="3F5ABD34" w:rsidR="004A3A13" w:rsidRPr="004A3A13" w:rsidRDefault="004A3A13" w:rsidP="002D0536">
                      <w:pPr>
                        <w:spacing w:after="0" w:line="240" w:lineRule="auto"/>
                        <w:contextualSpacing/>
                        <w:jc w:val="both"/>
                        <w:rPr>
                          <w:b/>
                          <w:bCs/>
                          <w:lang w:val="en-GB"/>
                        </w:rPr>
                      </w:pPr>
                      <w:r w:rsidRPr="004A3A13">
                        <w:rPr>
                          <w:b/>
                          <w:bCs/>
                          <w:lang w:val="en-GB"/>
                        </w:rPr>
                        <w:t>Emissions calculations</w:t>
                      </w:r>
                    </w:p>
                    <w:p w14:paraId="7AD50429" w14:textId="6455588F" w:rsidR="005B0376" w:rsidRDefault="00474DF7" w:rsidP="008C6BC8">
                      <w:pPr>
                        <w:spacing w:after="0" w:line="240" w:lineRule="auto"/>
                        <w:contextualSpacing/>
                        <w:jc w:val="both"/>
                        <w:rPr>
                          <w:lang w:val="en-GB"/>
                        </w:rPr>
                      </w:pPr>
                      <w:r>
                        <w:rPr>
                          <w:lang w:val="en-GB"/>
                        </w:rPr>
                        <w:t>Emissions from cars in Borås in 2021 (latest baseline) is 98 553 tCO</w:t>
                      </w:r>
                      <w:r w:rsidRPr="00474DF7">
                        <w:rPr>
                          <w:vertAlign w:val="subscript"/>
                          <w:lang w:val="en-GB"/>
                        </w:rPr>
                        <w:t>2</w:t>
                      </w:r>
                      <w:r>
                        <w:rPr>
                          <w:lang w:val="en-GB"/>
                        </w:rPr>
                        <w:t>e</w:t>
                      </w:r>
                      <w:r w:rsidR="008C6BC8">
                        <w:rPr>
                          <w:lang w:val="en-GB"/>
                        </w:rPr>
                        <w:t xml:space="preserve">. In the baseline scenario, these emissions are, with no action, expected to grow with projected population growth in Borås (4,4% in total between 2021 and 2030) to 102 936 </w:t>
                      </w:r>
                      <w:r w:rsidR="008C6BC8" w:rsidRPr="008C6BC8">
                        <w:rPr>
                          <w:lang w:val="en-GB"/>
                        </w:rPr>
                        <w:t>tCO</w:t>
                      </w:r>
                      <w:r w:rsidR="008C6BC8" w:rsidRPr="008C6BC8">
                        <w:rPr>
                          <w:vertAlign w:val="subscript"/>
                          <w:lang w:val="en-GB"/>
                        </w:rPr>
                        <w:t>2</w:t>
                      </w:r>
                      <w:r w:rsidR="008C6BC8" w:rsidRPr="008C6BC8">
                        <w:rPr>
                          <w:lang w:val="en-GB"/>
                        </w:rPr>
                        <w:t>e</w:t>
                      </w:r>
                      <w:r w:rsidR="008C6BC8">
                        <w:rPr>
                          <w:lang w:val="en-GB"/>
                        </w:rPr>
                        <w:t xml:space="preserve">. A 40% reduction of emitting cars means that only 61 762 </w:t>
                      </w:r>
                      <w:r w:rsidR="008C6BC8" w:rsidRPr="008C6BC8">
                        <w:rPr>
                          <w:lang w:val="en-GB"/>
                        </w:rPr>
                        <w:t>tCO</w:t>
                      </w:r>
                      <w:r w:rsidR="008C6BC8" w:rsidRPr="008C6BC8">
                        <w:rPr>
                          <w:vertAlign w:val="subscript"/>
                          <w:lang w:val="en-GB"/>
                        </w:rPr>
                        <w:t>2</w:t>
                      </w:r>
                      <w:r w:rsidR="008C6BC8" w:rsidRPr="008C6BC8">
                        <w:rPr>
                          <w:lang w:val="en-GB"/>
                        </w:rPr>
                        <w:t>e</w:t>
                      </w:r>
                      <w:r w:rsidR="008C6BC8">
                        <w:rPr>
                          <w:lang w:val="en-GB"/>
                        </w:rPr>
                        <w:t xml:space="preserve"> remains and that </w:t>
                      </w:r>
                      <w:r w:rsidR="0040057B">
                        <w:rPr>
                          <w:lang w:val="en-GB"/>
                        </w:rPr>
                        <w:t>41 174</w:t>
                      </w:r>
                      <w:r w:rsidR="008C6BC8">
                        <w:rPr>
                          <w:lang w:val="en-GB"/>
                        </w:rPr>
                        <w:t xml:space="preserve"> </w:t>
                      </w:r>
                      <w:r w:rsidR="008C6BC8" w:rsidRPr="008C6BC8">
                        <w:rPr>
                          <w:lang w:val="en-GB"/>
                        </w:rPr>
                        <w:t>tCO</w:t>
                      </w:r>
                      <w:r w:rsidR="008C6BC8" w:rsidRPr="008C6BC8">
                        <w:rPr>
                          <w:vertAlign w:val="subscript"/>
                          <w:lang w:val="en-GB"/>
                        </w:rPr>
                        <w:t>2</w:t>
                      </w:r>
                      <w:r w:rsidR="008C6BC8" w:rsidRPr="008C6BC8">
                        <w:rPr>
                          <w:lang w:val="en-GB"/>
                        </w:rPr>
                        <w:t>e</w:t>
                      </w:r>
                      <w:r w:rsidR="008C6BC8">
                        <w:rPr>
                          <w:lang w:val="en-GB"/>
                        </w:rPr>
                        <w:t xml:space="preserve"> have been mitigated with the climate action</w:t>
                      </w:r>
                      <w:r w:rsidR="0040057B">
                        <w:rPr>
                          <w:lang w:val="en-GB"/>
                        </w:rPr>
                        <w:t xml:space="preserve"> (compared to no</w:t>
                      </w:r>
                      <w:r w:rsidR="005B0376">
                        <w:rPr>
                          <w:lang w:val="en-GB"/>
                        </w:rPr>
                        <w:t xml:space="preserve"> </w:t>
                      </w:r>
                      <w:r w:rsidR="0040057B">
                        <w:rPr>
                          <w:lang w:val="en-GB"/>
                        </w:rPr>
                        <w:t>action)</w:t>
                      </w:r>
                      <w:r w:rsidR="008C6BC8">
                        <w:rPr>
                          <w:lang w:val="en-GB"/>
                        </w:rPr>
                        <w:t>.</w:t>
                      </w:r>
                      <w:r w:rsidR="005B0376">
                        <w:rPr>
                          <w:lang w:val="en-GB"/>
                        </w:rPr>
                        <w:t xml:space="preserve"> Contrasting this to the projected 2030 population in Borås (119 413), a total of 340 kg of </w:t>
                      </w:r>
                      <w:r w:rsidR="005B0376" w:rsidRPr="005B0376">
                        <w:rPr>
                          <w:lang w:val="en-GB"/>
                        </w:rPr>
                        <w:t>CO</w:t>
                      </w:r>
                      <w:r w:rsidR="005B0376" w:rsidRPr="005B0376">
                        <w:rPr>
                          <w:vertAlign w:val="subscript"/>
                          <w:lang w:val="en-GB"/>
                        </w:rPr>
                        <w:t>2</w:t>
                      </w:r>
                      <w:r w:rsidR="005B0376">
                        <w:rPr>
                          <w:lang w:val="en-GB"/>
                        </w:rPr>
                        <w:t xml:space="preserve"> equivalents per capita has been saved from the climate action. Instead of territorial emissions in Borås increasing (with population growth) by 4,4%, the emissions have now decreased by almost 12% and the city is now closer to reach its climate neutrality target by 2030!</w:t>
                      </w:r>
                    </w:p>
                    <w:p w14:paraId="028127C0" w14:textId="77777777" w:rsidR="005B0376" w:rsidRDefault="005B0376" w:rsidP="008C6BC8">
                      <w:pPr>
                        <w:spacing w:after="0" w:line="240" w:lineRule="auto"/>
                        <w:contextualSpacing/>
                        <w:jc w:val="both"/>
                        <w:rPr>
                          <w:lang w:val="en-GB"/>
                        </w:rPr>
                      </w:pPr>
                    </w:p>
                    <w:p w14:paraId="4043968E" w14:textId="6CD6B574" w:rsidR="004A3A13" w:rsidRPr="004A3A13" w:rsidRDefault="004A3A13" w:rsidP="008C6BC8">
                      <w:pPr>
                        <w:spacing w:after="0" w:line="240" w:lineRule="auto"/>
                        <w:contextualSpacing/>
                        <w:jc w:val="both"/>
                        <w:rPr>
                          <w:b/>
                          <w:bCs/>
                          <w:lang w:val="en-GB"/>
                        </w:rPr>
                      </w:pPr>
                      <w:r w:rsidRPr="004A3A13">
                        <w:rPr>
                          <w:b/>
                          <w:bCs/>
                          <w:lang w:val="en-GB"/>
                        </w:rPr>
                        <w:t>CAPEX calculations</w:t>
                      </w:r>
                    </w:p>
                    <w:p w14:paraId="03788770" w14:textId="6FC7D1C1" w:rsidR="00474DF7" w:rsidRDefault="00430320" w:rsidP="008C6BC8">
                      <w:pPr>
                        <w:spacing w:after="0" w:line="240" w:lineRule="auto"/>
                        <w:contextualSpacing/>
                        <w:jc w:val="both"/>
                        <w:rPr>
                          <w:lang w:val="en-GB"/>
                        </w:rPr>
                      </w:pPr>
                      <w:r>
                        <w:rPr>
                          <w:lang w:val="en-GB"/>
                        </w:rPr>
                        <w:t>To reach 40% electric cars in just 9 years (as 2021 is the baseline year), 4.4% (40%/9) of the car fleet must be replaced with electric cars ever year. We assume that the average life length of a car is 17 years so that 5.9% (1/17) of the car fleet is being replaced every year. This implies that 76% (4,4%/5,9%) of new sold cars each year from 2022-2030 must be electric. Total number of cars in Borås is 53 740 and if 1/17 is replaced every year, that means that 3 161 cars are being sold or used in the city. If 76% of these are electric, and an electric car costs 269 234 SEK more than a fossil fuelled car</w:t>
                      </w:r>
                      <w:r w:rsidR="00234DF5">
                        <w:rPr>
                          <w:lang w:val="en-GB"/>
                        </w:rPr>
                        <w:t xml:space="preserve"> (including the average cost for charging infrastructure per new car)</w:t>
                      </w:r>
                      <w:r>
                        <w:rPr>
                          <w:lang w:val="en-GB"/>
                        </w:rPr>
                        <w:t xml:space="preserve">, an additional investment to enable the transition of 643 million SEK (269 234*3 161*76%) is needed. This is then distributed to the city’s actors, </w:t>
                      </w:r>
                      <w:r w:rsidR="004A3A13">
                        <w:rPr>
                          <w:lang w:val="en-GB"/>
                        </w:rPr>
                        <w:t xml:space="preserve">where </w:t>
                      </w:r>
                      <w:r w:rsidR="00AC77CE">
                        <w:rPr>
                          <w:lang w:val="en-GB"/>
                        </w:rPr>
                        <w:t>84</w:t>
                      </w:r>
                      <w:r w:rsidR="004A3A13">
                        <w:rPr>
                          <w:lang w:val="en-GB"/>
                        </w:rPr>
                        <w:t>% of cars are owned by citizens. Thus</w:t>
                      </w:r>
                      <w:r w:rsidR="00FC3300">
                        <w:rPr>
                          <w:lang w:val="en-GB"/>
                        </w:rPr>
                        <w:t>,</w:t>
                      </w:r>
                      <w:r w:rsidR="004A3A13">
                        <w:rPr>
                          <w:lang w:val="en-GB"/>
                        </w:rPr>
                        <w:t xml:space="preserve"> the total additional investment cost (CAPEX) for citizens per year is </w:t>
                      </w:r>
                      <w:r w:rsidR="00AC77CE">
                        <w:rPr>
                          <w:lang w:val="en-GB"/>
                        </w:rPr>
                        <w:t xml:space="preserve">540 </w:t>
                      </w:r>
                      <w:r w:rsidR="004A3A13">
                        <w:rPr>
                          <w:lang w:val="en-GB"/>
                        </w:rPr>
                        <w:t>million SEK. Dividing this with the population in 2030</w:t>
                      </w:r>
                      <w:r w:rsidR="00FC3300">
                        <w:rPr>
                          <w:lang w:val="en-GB"/>
                        </w:rPr>
                        <w:t xml:space="preserve">, citizens will need to spend on average </w:t>
                      </w:r>
                      <w:r w:rsidR="007109C1">
                        <w:rPr>
                          <w:lang w:val="en-GB"/>
                        </w:rPr>
                        <w:t xml:space="preserve">4 </w:t>
                      </w:r>
                      <w:r w:rsidR="00AC77CE">
                        <w:rPr>
                          <w:lang w:val="en-GB"/>
                        </w:rPr>
                        <w:t>518</w:t>
                      </w:r>
                      <w:r w:rsidR="00FC3300">
                        <w:rPr>
                          <w:lang w:val="en-GB"/>
                        </w:rPr>
                        <w:t xml:space="preserve"> SEK extra per year and person or </w:t>
                      </w:r>
                      <w:r w:rsidR="00AC77CE">
                        <w:rPr>
                          <w:lang w:val="en-GB"/>
                        </w:rPr>
                        <w:t>41</w:t>
                      </w:r>
                      <w:r w:rsidR="007109C1">
                        <w:rPr>
                          <w:lang w:val="en-GB"/>
                        </w:rPr>
                        <w:t xml:space="preserve"> 000</w:t>
                      </w:r>
                      <w:r w:rsidR="00FC3300">
                        <w:rPr>
                          <w:lang w:val="en-GB"/>
                        </w:rPr>
                        <w:t xml:space="preserve"> SEK over the entire time</w:t>
                      </w:r>
                      <w:r w:rsidR="0070079A">
                        <w:rPr>
                          <w:lang w:val="en-GB"/>
                        </w:rPr>
                        <w:t>-</w:t>
                      </w:r>
                      <w:r w:rsidR="00FC3300">
                        <w:rPr>
                          <w:lang w:val="en-GB"/>
                        </w:rPr>
                        <w:t>period.</w:t>
                      </w:r>
                    </w:p>
                    <w:p w14:paraId="1565B147" w14:textId="0A7C2659" w:rsidR="008D2AF6" w:rsidRDefault="008D2AF6" w:rsidP="002D0536">
                      <w:pPr>
                        <w:spacing w:after="0" w:line="240" w:lineRule="auto"/>
                        <w:contextualSpacing/>
                        <w:jc w:val="both"/>
                        <w:rPr>
                          <w:lang w:val="en-GB"/>
                        </w:rPr>
                      </w:pPr>
                    </w:p>
                    <w:p w14:paraId="75F3F19E" w14:textId="342D5CFC" w:rsidR="004A3A13" w:rsidRPr="00AC77CE" w:rsidRDefault="004A3A13" w:rsidP="002D0536">
                      <w:pPr>
                        <w:spacing w:after="0" w:line="240" w:lineRule="auto"/>
                        <w:contextualSpacing/>
                        <w:jc w:val="both"/>
                        <w:rPr>
                          <w:b/>
                          <w:bCs/>
                          <w:i/>
                          <w:iCs/>
                          <w:lang w:val="en-GB"/>
                        </w:rPr>
                      </w:pPr>
                      <w:r w:rsidRPr="00AC77CE">
                        <w:rPr>
                          <w:b/>
                          <w:bCs/>
                          <w:i/>
                          <w:iCs/>
                          <w:lang w:val="en-GB"/>
                        </w:rPr>
                        <w:t>CAPEX considerations and flexibilities</w:t>
                      </w:r>
                    </w:p>
                    <w:p w14:paraId="3565F4B6" w14:textId="27FD48CE" w:rsidR="004A3A13" w:rsidRDefault="004A3A13" w:rsidP="002D0536">
                      <w:pPr>
                        <w:spacing w:after="0" w:line="240" w:lineRule="auto"/>
                        <w:contextualSpacing/>
                        <w:jc w:val="both"/>
                        <w:rPr>
                          <w:lang w:val="en-GB"/>
                        </w:rPr>
                      </w:pPr>
                      <w:r>
                        <w:rPr>
                          <w:lang w:val="en-GB"/>
                        </w:rPr>
                        <w:t>If a city is rather interested in the total investment cost and not just the additional cost (which subtracts the price of a petrol/diesel car), that can be specified in the assumptions (“</w:t>
                      </w:r>
                      <w:r w:rsidRPr="004A3A13">
                        <w:rPr>
                          <w:lang w:val="en-GB"/>
                        </w:rPr>
                        <w:t xml:space="preserve">Share of new electric cars causing early replacement of fossil </w:t>
                      </w:r>
                      <w:proofErr w:type="spellStart"/>
                      <w:r w:rsidRPr="004A3A13">
                        <w:rPr>
                          <w:lang w:val="en-GB"/>
                        </w:rPr>
                        <w:t>fueled</w:t>
                      </w:r>
                      <w:proofErr w:type="spellEnd"/>
                      <w:r w:rsidRPr="004A3A13">
                        <w:rPr>
                          <w:lang w:val="en-GB"/>
                        </w:rPr>
                        <w:t xml:space="preserve"> cars</w:t>
                      </w:r>
                      <w:r>
                        <w:rPr>
                          <w:lang w:val="en-GB"/>
                        </w:rPr>
                        <w:t>”). Please note that if the lever for electric cars is above 53%, this assumption needs to be changed as it will not be possible to reach such fast electrification without retiring existing cars. Please also note that there are likely going to be plug-in hybrids and hydrogen cars in the fleet. Also, if the user believes that the price if electric cars will decline over time, that can be specified in the assumptions (“</w:t>
                      </w:r>
                      <w:r w:rsidRPr="004A3A13">
                        <w:rPr>
                          <w:lang w:val="en-GB"/>
                        </w:rPr>
                        <w:t>Electric vehicle new price in 2030 compared to today</w:t>
                      </w:r>
                      <w:r>
                        <w:rPr>
                          <w:lang w:val="en-GB"/>
                        </w:rPr>
                        <w:t>”). It is also possible to adjust other key assumptions, such as the price of electric cars, the share of the costs borne by citizens or the replacement rate of cars.</w:t>
                      </w:r>
                    </w:p>
                    <w:p w14:paraId="0E78D6E9" w14:textId="77777777" w:rsidR="004A3A13" w:rsidRDefault="004A3A13" w:rsidP="002D0536">
                      <w:pPr>
                        <w:spacing w:after="0" w:line="240" w:lineRule="auto"/>
                        <w:contextualSpacing/>
                        <w:jc w:val="both"/>
                        <w:rPr>
                          <w:lang w:val="en-GB"/>
                        </w:rPr>
                      </w:pPr>
                    </w:p>
                    <w:p w14:paraId="48AD2E93" w14:textId="5AAA17F6" w:rsidR="004A3A13" w:rsidRPr="004A3A13" w:rsidRDefault="004A3A13" w:rsidP="002D0536">
                      <w:pPr>
                        <w:spacing w:after="0" w:line="240" w:lineRule="auto"/>
                        <w:contextualSpacing/>
                        <w:jc w:val="both"/>
                        <w:rPr>
                          <w:b/>
                          <w:bCs/>
                          <w:lang w:val="en-GB"/>
                        </w:rPr>
                      </w:pPr>
                      <w:r w:rsidRPr="004A3A13">
                        <w:rPr>
                          <w:b/>
                          <w:bCs/>
                          <w:lang w:val="en-GB"/>
                        </w:rPr>
                        <w:t>OPEX calculations</w:t>
                      </w:r>
                    </w:p>
                    <w:p w14:paraId="56CCD26C" w14:textId="6A1BAF24" w:rsidR="00234DF5" w:rsidRDefault="00234DF5" w:rsidP="002D0536">
                      <w:pPr>
                        <w:spacing w:after="0" w:line="240" w:lineRule="auto"/>
                        <w:contextualSpacing/>
                        <w:jc w:val="both"/>
                        <w:rPr>
                          <w:lang w:val="en-GB"/>
                        </w:rPr>
                      </w:pPr>
                      <w:r>
                        <w:rPr>
                          <w:lang w:val="en-GB"/>
                        </w:rPr>
                        <w:t xml:space="preserve">The operational expenses of an electric car consist primarily of the electricity as a fuel, but also a saving from not having to use petrol or diesel. Using assumptions of 0,4 SEK to drive 1 km and a total of 11 000 </w:t>
                      </w:r>
                      <w:proofErr w:type="spellStart"/>
                      <w:r>
                        <w:rPr>
                          <w:lang w:val="en-GB"/>
                        </w:rPr>
                        <w:t>kilometers</w:t>
                      </w:r>
                      <w:proofErr w:type="spellEnd"/>
                      <w:r>
                        <w:rPr>
                          <w:lang w:val="en-GB"/>
                        </w:rPr>
                        <w:t xml:space="preserve"> being driven by the average car 4 477 will be spent on electricity per year for the average car, compared to a saving of 15 945 SEK that would have been spent on diesel and petrol (similarly derived from the assumptions</w:t>
                      </w:r>
                      <w:r w:rsidR="000E4121">
                        <w:rPr>
                          <w:lang w:val="en-GB"/>
                        </w:rPr>
                        <w:t>). In 2022, the total operation saving would then be 27 million SEK (3 161 cars sold * 76% share electric cars * 11 468 SEK in lower cost per year (15 945 savings in petrol minus 4 477 cost of electricity)). In 2023, another set of electric cars will be on the market and the total saving would reach 55 million SEK</w:t>
                      </w:r>
                      <w:r w:rsidR="007109C1">
                        <w:rPr>
                          <w:lang w:val="en-GB"/>
                        </w:rPr>
                        <w:t xml:space="preserve"> and accumulate over time. Following a similar logic as above, the total operational saving per capita for Borås from 2022-2030 would be about 8 </w:t>
                      </w:r>
                      <w:r w:rsidR="00AC77CE">
                        <w:rPr>
                          <w:lang w:val="en-GB"/>
                        </w:rPr>
                        <w:t>7</w:t>
                      </w:r>
                      <w:r w:rsidR="007109C1">
                        <w:rPr>
                          <w:lang w:val="en-GB"/>
                        </w:rPr>
                        <w:t xml:space="preserve">00 SEK. This is clearly lower than the 38 000 SEK that will be invested as the benefits from lower costs after 2030 are not </w:t>
                      </w:r>
                      <w:proofErr w:type="gramStart"/>
                      <w:r w:rsidR="007109C1">
                        <w:rPr>
                          <w:lang w:val="en-GB"/>
                        </w:rPr>
                        <w:t>taken into account</w:t>
                      </w:r>
                      <w:proofErr w:type="gramEnd"/>
                      <w:r w:rsidR="007109C1">
                        <w:rPr>
                          <w:lang w:val="en-GB"/>
                        </w:rPr>
                        <w:t xml:space="preserve"> in this model.</w:t>
                      </w:r>
                    </w:p>
                    <w:p w14:paraId="3F369C4C" w14:textId="77777777" w:rsidR="00234DF5" w:rsidRDefault="00234DF5" w:rsidP="002D0536">
                      <w:pPr>
                        <w:spacing w:after="0" w:line="240" w:lineRule="auto"/>
                        <w:contextualSpacing/>
                        <w:jc w:val="both"/>
                        <w:rPr>
                          <w:lang w:val="en-GB"/>
                        </w:rPr>
                      </w:pPr>
                    </w:p>
                  </w:txbxContent>
                </v:textbox>
                <w10:wrap type="square" anchorx="margin" anchory="page"/>
              </v:shape>
            </w:pict>
          </mc:Fallback>
        </mc:AlternateContent>
      </w:r>
    </w:p>
    <w:p w14:paraId="2D9D36CA" w14:textId="653BCA92" w:rsidR="00AF0AFB" w:rsidRPr="00AF0AFB" w:rsidRDefault="00AF0AFB" w:rsidP="00E20E52">
      <w:pPr>
        <w:pStyle w:val="Heading1"/>
        <w:numPr>
          <w:ilvl w:val="0"/>
          <w:numId w:val="2"/>
        </w:numPr>
        <w:spacing w:before="0" w:after="0" w:line="360" w:lineRule="auto"/>
        <w:contextualSpacing/>
        <w:jc w:val="both"/>
        <w:rPr>
          <w:lang w:val="en-US"/>
        </w:rPr>
      </w:pPr>
      <w:bookmarkStart w:id="13" w:name="_Toc144478189"/>
      <w:r w:rsidRPr="00AF0AFB">
        <w:rPr>
          <w:lang w:val="en-US"/>
        </w:rPr>
        <w:t>Next steps</w:t>
      </w:r>
      <w:bookmarkEnd w:id="13"/>
    </w:p>
    <w:p w14:paraId="034BA673" w14:textId="1DCC72CA" w:rsidR="00AF0AFB" w:rsidRPr="00AF0AFB" w:rsidRDefault="008811E6" w:rsidP="00E20E52">
      <w:pPr>
        <w:spacing w:after="0" w:line="360" w:lineRule="auto"/>
        <w:contextualSpacing/>
        <w:jc w:val="both"/>
        <w:rPr>
          <w:rStyle w:val="hgkelc"/>
          <w:lang w:val="en-US"/>
        </w:rPr>
      </w:pPr>
      <w:r>
        <w:rPr>
          <w:rStyle w:val="hgkelc"/>
          <w:lang w:val="en-US"/>
        </w:rPr>
        <w:t>Next steps include:</w:t>
      </w:r>
    </w:p>
    <w:p w14:paraId="49D84F11" w14:textId="3CA135E3" w:rsidR="00AF0AFB" w:rsidRDefault="00AF0AFB" w:rsidP="00E20E52">
      <w:pPr>
        <w:pStyle w:val="ListParagraph"/>
        <w:numPr>
          <w:ilvl w:val="0"/>
          <w:numId w:val="6"/>
        </w:numPr>
        <w:spacing w:after="0" w:line="360" w:lineRule="auto"/>
        <w:jc w:val="both"/>
        <w:rPr>
          <w:rStyle w:val="hgkelc"/>
          <w:lang w:val="en-US"/>
        </w:rPr>
      </w:pPr>
      <w:r w:rsidRPr="00AF0AFB">
        <w:rPr>
          <w:rStyle w:val="hgkelc"/>
          <w:lang w:val="en-US"/>
        </w:rPr>
        <w:t>Adding</w:t>
      </w:r>
      <w:r w:rsidR="00034CC6">
        <w:rPr>
          <w:rStyle w:val="hgkelc"/>
          <w:lang w:val="en-US"/>
        </w:rPr>
        <w:t xml:space="preserve"> more</w:t>
      </w:r>
      <w:r w:rsidRPr="00AF0AFB">
        <w:rPr>
          <w:rStyle w:val="hgkelc"/>
          <w:lang w:val="en-US"/>
        </w:rPr>
        <w:t xml:space="preserve"> co-impacts in the model, i.e., </w:t>
      </w:r>
      <w:proofErr w:type="gramStart"/>
      <w:r w:rsidRPr="00AF0AFB">
        <w:rPr>
          <w:rStyle w:val="hgkelc"/>
          <w:lang w:val="en-US"/>
        </w:rPr>
        <w:t>positive</w:t>
      </w:r>
      <w:proofErr w:type="gramEnd"/>
      <w:r w:rsidRPr="00AF0AFB">
        <w:rPr>
          <w:rStyle w:val="hgkelc"/>
          <w:lang w:val="en-US"/>
        </w:rPr>
        <w:t xml:space="preserve"> and negative consequences of climate action in cities, for example in the field of reduced health care expenditure, increased energy security and geopolitical resilience, and other.</w:t>
      </w:r>
    </w:p>
    <w:p w14:paraId="1EE6354B" w14:textId="7E503B77" w:rsidR="004A4D1D" w:rsidRDefault="004A4D1D" w:rsidP="00E20E52">
      <w:pPr>
        <w:pStyle w:val="ListParagraph"/>
        <w:numPr>
          <w:ilvl w:val="0"/>
          <w:numId w:val="6"/>
        </w:numPr>
        <w:spacing w:after="0" w:line="360" w:lineRule="auto"/>
        <w:jc w:val="both"/>
        <w:rPr>
          <w:rStyle w:val="hgkelc"/>
          <w:lang w:val="en-US"/>
        </w:rPr>
      </w:pPr>
      <w:r>
        <w:rPr>
          <w:rStyle w:val="hgkelc"/>
          <w:lang w:val="en-US"/>
        </w:rPr>
        <w:t xml:space="preserve">Continuously </w:t>
      </w:r>
      <w:r w:rsidR="009B2D69">
        <w:rPr>
          <w:rStyle w:val="hgkelc"/>
          <w:lang w:val="en-US"/>
        </w:rPr>
        <w:t>updating</w:t>
      </w:r>
      <w:r>
        <w:rPr>
          <w:rStyle w:val="hgkelc"/>
          <w:lang w:val="en-US"/>
        </w:rPr>
        <w:t xml:space="preserve"> the baseline emissions and aligning the assumptions with more accurate and timely data</w:t>
      </w:r>
    </w:p>
    <w:p w14:paraId="12BFA69B" w14:textId="38EAB31D" w:rsidR="004A4D1D" w:rsidRDefault="004A4D1D" w:rsidP="00E20E52">
      <w:pPr>
        <w:pStyle w:val="ListParagraph"/>
        <w:numPr>
          <w:ilvl w:val="0"/>
          <w:numId w:val="6"/>
        </w:numPr>
        <w:spacing w:after="0" w:line="360" w:lineRule="auto"/>
        <w:jc w:val="both"/>
        <w:rPr>
          <w:rStyle w:val="hgkelc"/>
          <w:lang w:val="en-US"/>
        </w:rPr>
      </w:pPr>
      <w:r>
        <w:rPr>
          <w:rStyle w:val="hgkelc"/>
          <w:lang w:val="en-US"/>
        </w:rPr>
        <w:t xml:space="preserve">Adding a marginal abatement cost curve for the user to </w:t>
      </w:r>
      <w:proofErr w:type="spellStart"/>
      <w:r>
        <w:rPr>
          <w:rStyle w:val="hgkelc"/>
          <w:lang w:val="en-US"/>
        </w:rPr>
        <w:t>analyse</w:t>
      </w:r>
      <w:proofErr w:type="spellEnd"/>
      <w:r>
        <w:rPr>
          <w:rStyle w:val="hgkelc"/>
          <w:lang w:val="en-US"/>
        </w:rPr>
        <w:t xml:space="preserve"> the effectiveness of different </w:t>
      </w:r>
      <w:proofErr w:type="gramStart"/>
      <w:r>
        <w:rPr>
          <w:rStyle w:val="hgkelc"/>
          <w:lang w:val="en-US"/>
        </w:rPr>
        <w:t>investments</w:t>
      </w:r>
      <w:proofErr w:type="gramEnd"/>
    </w:p>
    <w:p w14:paraId="312A8D00" w14:textId="42FDEB85" w:rsidR="004A4D1D" w:rsidRDefault="004A4D1D" w:rsidP="00E20E52">
      <w:pPr>
        <w:pStyle w:val="ListParagraph"/>
        <w:numPr>
          <w:ilvl w:val="0"/>
          <w:numId w:val="6"/>
        </w:numPr>
        <w:spacing w:after="0" w:line="360" w:lineRule="auto"/>
        <w:jc w:val="both"/>
        <w:rPr>
          <w:rStyle w:val="hgkelc"/>
          <w:lang w:val="en-US"/>
        </w:rPr>
      </w:pPr>
      <w:r>
        <w:rPr>
          <w:rStyle w:val="hgkelc"/>
          <w:lang w:val="en-US"/>
        </w:rPr>
        <w:t xml:space="preserve">Integrating financial indicators of the financial capability as well as funding opportunities for the user to explore when developing its climate investment </w:t>
      </w:r>
      <w:proofErr w:type="gramStart"/>
      <w:r>
        <w:rPr>
          <w:rStyle w:val="hgkelc"/>
          <w:lang w:val="en-US"/>
        </w:rPr>
        <w:t>plan</w:t>
      </w:r>
      <w:proofErr w:type="gramEnd"/>
    </w:p>
    <w:p w14:paraId="0A7A3761" w14:textId="49009594" w:rsidR="004A4D1D" w:rsidRPr="00AF0AFB" w:rsidRDefault="004A4D1D" w:rsidP="00E20E52">
      <w:pPr>
        <w:pStyle w:val="ListParagraph"/>
        <w:numPr>
          <w:ilvl w:val="0"/>
          <w:numId w:val="6"/>
        </w:numPr>
        <w:spacing w:after="0" w:line="360" w:lineRule="auto"/>
        <w:jc w:val="both"/>
        <w:rPr>
          <w:rStyle w:val="hgkelc"/>
          <w:lang w:val="en-US"/>
        </w:rPr>
      </w:pPr>
      <w:r>
        <w:rPr>
          <w:rStyle w:val="hgkelc"/>
          <w:lang w:val="en-US"/>
        </w:rPr>
        <w:t>Expanding the model to more countries</w:t>
      </w:r>
    </w:p>
    <w:p w14:paraId="0A5E1562" w14:textId="3A51A425" w:rsidR="00AF0AFB" w:rsidRPr="00AF0AFB" w:rsidRDefault="00AF0AFB" w:rsidP="00E20E52">
      <w:pPr>
        <w:pStyle w:val="ListParagraph"/>
        <w:numPr>
          <w:ilvl w:val="0"/>
          <w:numId w:val="6"/>
        </w:numPr>
        <w:spacing w:after="0" w:line="360" w:lineRule="auto"/>
        <w:jc w:val="both"/>
        <w:rPr>
          <w:rStyle w:val="hgkelc"/>
          <w:lang w:val="en-US"/>
        </w:rPr>
      </w:pPr>
      <w:r w:rsidRPr="00AF0AFB">
        <w:rPr>
          <w:rStyle w:val="hgkelc"/>
          <w:lang w:val="en-US"/>
        </w:rPr>
        <w:t>Extending the model to include adaptation measures</w:t>
      </w:r>
      <w:r w:rsidR="009B2D69">
        <w:rPr>
          <w:rStyle w:val="hgkelc"/>
          <w:lang w:val="en-US"/>
        </w:rPr>
        <w:t xml:space="preserve"> and</w:t>
      </w:r>
      <w:r w:rsidRPr="00AF0AFB">
        <w:rPr>
          <w:rStyle w:val="hgkelc"/>
          <w:lang w:val="en-US"/>
        </w:rPr>
        <w:t xml:space="preserve"> nature-based </w:t>
      </w:r>
      <w:proofErr w:type="gramStart"/>
      <w:r w:rsidRPr="00AF0AFB">
        <w:rPr>
          <w:rStyle w:val="hgkelc"/>
          <w:lang w:val="en-US"/>
        </w:rPr>
        <w:t>solutions</w:t>
      </w:r>
      <w:proofErr w:type="gramEnd"/>
    </w:p>
    <w:p w14:paraId="5667166F" w14:textId="77777777" w:rsidR="00AF0AFB" w:rsidRPr="00AF0AFB" w:rsidRDefault="00AF0AFB" w:rsidP="00E20E52">
      <w:pPr>
        <w:spacing w:after="0" w:line="360" w:lineRule="auto"/>
        <w:contextualSpacing/>
        <w:jc w:val="both"/>
        <w:rPr>
          <w:rStyle w:val="hgkelc"/>
          <w:lang w:val="en-US"/>
        </w:rPr>
      </w:pPr>
    </w:p>
    <w:p w14:paraId="4BD48541" w14:textId="7DD8E034" w:rsidR="00AF0AFB" w:rsidRDefault="00AF0AFB" w:rsidP="00E20E52">
      <w:pPr>
        <w:spacing w:after="0" w:line="360" w:lineRule="auto"/>
        <w:contextualSpacing/>
        <w:jc w:val="both"/>
        <w:rPr>
          <w:rStyle w:val="hgkelc"/>
          <w:lang w:val="en-US"/>
        </w:rPr>
      </w:pPr>
      <w:r w:rsidRPr="00AF0AFB">
        <w:rPr>
          <w:rStyle w:val="hgkelc"/>
          <w:lang w:val="en-US"/>
        </w:rPr>
        <w:t>Anyone interested in helping build out the model, please feel free to reach out to the model</w:t>
      </w:r>
      <w:r w:rsidR="00A90E02">
        <w:rPr>
          <w:rStyle w:val="hgkelc"/>
          <w:lang w:val="en-US"/>
        </w:rPr>
        <w:t>ling team</w:t>
      </w:r>
      <w:r w:rsidRPr="00AF0AFB">
        <w:rPr>
          <w:rStyle w:val="hgkelc"/>
          <w:lang w:val="en-US"/>
        </w:rPr>
        <w:t>.</w:t>
      </w:r>
    </w:p>
    <w:p w14:paraId="495E17C9" w14:textId="77777777" w:rsidR="00A90E02" w:rsidRDefault="00A90E02" w:rsidP="00E20E52">
      <w:pPr>
        <w:spacing w:after="0" w:line="360" w:lineRule="auto"/>
        <w:contextualSpacing/>
        <w:jc w:val="both"/>
        <w:rPr>
          <w:rStyle w:val="hgkelc"/>
          <w:lang w:val="en-US"/>
        </w:rPr>
      </w:pPr>
    </w:p>
    <w:p w14:paraId="7197C9A3" w14:textId="2BF48628" w:rsidR="00A90E02" w:rsidRPr="00C013FA" w:rsidRDefault="00A90E02" w:rsidP="00E20E52">
      <w:pPr>
        <w:spacing w:after="0" w:line="360" w:lineRule="auto"/>
        <w:contextualSpacing/>
        <w:jc w:val="both"/>
        <w:rPr>
          <w:lang w:val="en-GB"/>
        </w:rPr>
      </w:pPr>
      <w:r>
        <w:rPr>
          <w:lang w:val="en-GB"/>
        </w:rPr>
        <w:t xml:space="preserve">More updates are on the way for later versions, including after a Hackathon to make the code run more smoothly that could also inject new ideas for improvements. </w:t>
      </w:r>
      <w:r w:rsidR="00C733EC">
        <w:rPr>
          <w:lang w:val="en-GB"/>
        </w:rPr>
        <w:t>For example, o</w:t>
      </w:r>
      <w:r>
        <w:rPr>
          <w:lang w:val="en-GB"/>
        </w:rPr>
        <w:t>ne issue is</w:t>
      </w:r>
      <w:r w:rsidR="00C733EC">
        <w:rPr>
          <w:lang w:val="en-GB"/>
        </w:rPr>
        <w:t xml:space="preserve"> the lag time in displaying the investment totals. We appreciate your </w:t>
      </w:r>
      <w:r>
        <w:rPr>
          <w:lang w:val="en-GB"/>
        </w:rPr>
        <w:t>patience while working with the tool for now.</w:t>
      </w:r>
    </w:p>
    <w:p w14:paraId="3308DBCA" w14:textId="77777777" w:rsidR="00AF0AFB" w:rsidRPr="00AF0AFB" w:rsidRDefault="00AF0AFB" w:rsidP="00E20E52">
      <w:pPr>
        <w:spacing w:after="0" w:line="360" w:lineRule="auto"/>
        <w:contextualSpacing/>
        <w:jc w:val="both"/>
        <w:rPr>
          <w:lang w:val="en-US"/>
        </w:rPr>
      </w:pPr>
    </w:p>
    <w:p w14:paraId="75E4B1AA" w14:textId="77777777" w:rsidR="00AF0AFB" w:rsidRPr="00AF0AFB" w:rsidRDefault="00AF0AFB" w:rsidP="00E20E52">
      <w:pPr>
        <w:pStyle w:val="Heading1"/>
        <w:numPr>
          <w:ilvl w:val="0"/>
          <w:numId w:val="2"/>
        </w:numPr>
        <w:spacing w:before="0" w:after="0" w:line="360" w:lineRule="auto"/>
        <w:ind w:left="360" w:hanging="360"/>
        <w:contextualSpacing/>
        <w:jc w:val="both"/>
        <w:rPr>
          <w:lang w:val="en-US"/>
        </w:rPr>
      </w:pPr>
      <w:bookmarkStart w:id="14" w:name="_Toc144478190"/>
      <w:r w:rsidRPr="00AF0AFB">
        <w:rPr>
          <w:lang w:val="en-US"/>
        </w:rPr>
        <w:t>Acknowledgements</w:t>
      </w:r>
      <w:bookmarkEnd w:id="14"/>
    </w:p>
    <w:p w14:paraId="6180CC6E" w14:textId="06AE4821" w:rsidR="00AF0AFB" w:rsidRPr="00AF0AFB" w:rsidRDefault="00AF0AFB" w:rsidP="00E20E52">
      <w:pPr>
        <w:spacing w:after="0" w:line="360" w:lineRule="auto"/>
        <w:contextualSpacing/>
        <w:rPr>
          <w:lang w:val="en-US"/>
        </w:rPr>
      </w:pPr>
      <w:r w:rsidRPr="00AF0AFB">
        <w:rPr>
          <w:lang w:val="en-US"/>
        </w:rPr>
        <w:t>This user guide was funded through the Viable Cities and the Viable Cities’ Finance research grant (grant number 2019-019865).</w:t>
      </w:r>
    </w:p>
    <w:p w14:paraId="252F739A" w14:textId="77777777" w:rsidR="00AF0AFB" w:rsidRPr="00AF0AFB" w:rsidRDefault="00AF0AFB" w:rsidP="00E20E52">
      <w:pPr>
        <w:spacing w:after="0" w:line="360" w:lineRule="auto"/>
        <w:contextualSpacing/>
        <w:rPr>
          <w:lang w:val="en-US"/>
        </w:rPr>
      </w:pPr>
    </w:p>
    <w:p w14:paraId="2872940B" w14:textId="77777777" w:rsidR="00AF0AFB" w:rsidRPr="00AF0AFB" w:rsidRDefault="00AF0AFB" w:rsidP="00E20E52">
      <w:pPr>
        <w:pStyle w:val="Heading1"/>
        <w:numPr>
          <w:ilvl w:val="0"/>
          <w:numId w:val="2"/>
        </w:numPr>
        <w:spacing w:before="0" w:after="0" w:line="360" w:lineRule="auto"/>
        <w:ind w:left="360" w:hanging="360"/>
        <w:contextualSpacing/>
        <w:jc w:val="both"/>
        <w:rPr>
          <w:lang w:val="en-US"/>
        </w:rPr>
      </w:pPr>
      <w:bookmarkStart w:id="15" w:name="_Toc144478191"/>
      <w:r w:rsidRPr="00AF0AFB">
        <w:rPr>
          <w:lang w:val="en-US"/>
        </w:rPr>
        <w:t>References</w:t>
      </w:r>
      <w:bookmarkEnd w:id="15"/>
    </w:p>
    <w:p w14:paraId="447125DF" w14:textId="77777777" w:rsidR="003821FD" w:rsidRPr="003821FD" w:rsidRDefault="00AF0AFB" w:rsidP="00E20E52">
      <w:pPr>
        <w:pStyle w:val="Bibliography"/>
        <w:spacing w:before="0" w:line="360" w:lineRule="auto"/>
        <w:contextualSpacing/>
        <w:rPr>
          <w:rFonts w:ascii="Calibri" w:hAnsi="Calibri" w:cs="Calibri"/>
          <w:lang w:val="en-US"/>
        </w:rPr>
      </w:pPr>
      <w:r w:rsidRPr="00AF0AFB">
        <w:rPr>
          <w:lang w:val="en-US"/>
        </w:rPr>
        <w:fldChar w:fldCharType="begin"/>
      </w:r>
      <w:r w:rsidRPr="00AF0AFB">
        <w:rPr>
          <w:lang w:val="en-US"/>
        </w:rPr>
        <w:instrText xml:space="preserve"> ADDIN ZOTERO_BIBL {"uncited":[],"omitted":[],"custom":[]} CSL_BIBLIOGRAPHY </w:instrText>
      </w:r>
      <w:r w:rsidRPr="00AF0AFB">
        <w:rPr>
          <w:lang w:val="en-US"/>
        </w:rPr>
        <w:fldChar w:fldCharType="separate"/>
      </w:r>
      <w:r w:rsidR="003821FD" w:rsidRPr="003821FD">
        <w:rPr>
          <w:rFonts w:ascii="Calibri" w:hAnsi="Calibri" w:cs="Calibri"/>
          <w:lang w:val="en-US"/>
        </w:rPr>
        <w:t>Bloomberg NEF, 2018. Electric Buses in Cities: Driving Towards Cleaner Air and Lower CO2. BloombergNEF. URL https://about.bnef.com/blog/electric-buses-cities-driving-towards-cleaner-air-lower-co2/ (accessed 4.27.21).</w:t>
      </w:r>
    </w:p>
    <w:p w14:paraId="43C6A810"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rPr>
        <w:t xml:space="preserve">Dimitriadis, A., Natsios, I., Dimaratos, A., Katsaounis, D., Samaras, Z., Bezergianni, S., Lehto, K., 2018. </w:t>
      </w:r>
      <w:r w:rsidRPr="003821FD">
        <w:rPr>
          <w:rFonts w:ascii="Calibri" w:hAnsi="Calibri" w:cs="Calibri"/>
          <w:lang w:val="en-US"/>
        </w:rPr>
        <w:t>Evaluation of a Hydrotreated Vegetable Oil (HVO) and Effects on Emissions of a Passenger Car Diesel Engine. Frontiers in Mechanical Engineering 4.</w:t>
      </w:r>
    </w:p>
    <w:p w14:paraId="372A55AA"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Dodoo, A., Gustavsson, L., Le Truong, N., 2018. Primary energy benefits of cost-effective energy renovation of a district heated multi-family building under different energy supply systems. Energy 143, 69–90. https://doi.org/10.1016/j.energy.2017.10.113</w:t>
      </w:r>
    </w:p>
    <w:p w14:paraId="6E252B27"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Dodoo, A., Gustavsson, L., Tettey, U.Y.A., 2017a. Final energy savings and cost-effectiveness of deep energy renovation of a multi-storey residential building. Energy 135, 563–576. https://doi.org/10.1016/j.energy.2017.06.123</w:t>
      </w:r>
    </w:p>
    <w:p w14:paraId="22F5738D"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Dodoo, A., Tettey, U.Y.A., Gustavsson, L., 2017b. Influence of simulation assumptions and input parameters on energy balance calculations of residential buildings. Energy 120, 718–730. https://doi.org/10.1016/j.energy.2016.11.124</w:t>
      </w:r>
    </w:p>
    <w:p w14:paraId="3D5EAFC8"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Energiforsk, 2021. Climate impact of a passenger car in Sweden.</w:t>
      </w:r>
    </w:p>
    <w:p w14:paraId="748A5109" w14:textId="77777777" w:rsidR="003821FD" w:rsidRPr="00AF027E" w:rsidRDefault="003821FD" w:rsidP="00E20E52">
      <w:pPr>
        <w:pStyle w:val="Bibliography"/>
        <w:spacing w:before="0" w:line="360" w:lineRule="auto"/>
        <w:contextualSpacing/>
        <w:rPr>
          <w:rFonts w:ascii="Calibri" w:hAnsi="Calibri" w:cs="Calibri"/>
        </w:rPr>
      </w:pPr>
      <w:r w:rsidRPr="003821FD">
        <w:rPr>
          <w:rFonts w:ascii="Calibri" w:hAnsi="Calibri" w:cs="Calibri"/>
        </w:rPr>
        <w:t xml:space="preserve">Eriksson, M., Persson Osowski, C., Malefors, C., Björkman, J., Eriksson, E., 2017. </w:t>
      </w:r>
      <w:r w:rsidRPr="003821FD">
        <w:rPr>
          <w:rFonts w:ascii="Calibri" w:hAnsi="Calibri" w:cs="Calibri"/>
          <w:lang w:val="en-US"/>
        </w:rPr>
        <w:t xml:space="preserve">Quantification of food waste in public catering services – A case study from a Swedish municipality. </w:t>
      </w:r>
      <w:r w:rsidRPr="00AF027E">
        <w:rPr>
          <w:rFonts w:ascii="Calibri" w:hAnsi="Calibri" w:cs="Calibri"/>
        </w:rPr>
        <w:t>Waste Management 61, 415–422. https://doi.org/10.1016/j.wasman.2017.01.035</w:t>
      </w:r>
    </w:p>
    <w:p w14:paraId="7953CE1D" w14:textId="77777777" w:rsidR="003821FD" w:rsidRPr="00AF027E" w:rsidRDefault="003821FD" w:rsidP="00E20E52">
      <w:pPr>
        <w:pStyle w:val="Bibliography"/>
        <w:spacing w:before="0" w:line="360" w:lineRule="auto"/>
        <w:contextualSpacing/>
        <w:rPr>
          <w:rFonts w:ascii="Calibri" w:hAnsi="Calibri" w:cs="Calibri"/>
        </w:rPr>
      </w:pPr>
      <w:r w:rsidRPr="00AF027E">
        <w:rPr>
          <w:rFonts w:ascii="Calibri" w:hAnsi="Calibri" w:cs="Calibri"/>
        </w:rPr>
        <w:t xml:space="preserve">Grauers, A., Borén, S., Enerbäck, O., 2020. </w:t>
      </w:r>
      <w:r w:rsidRPr="003821FD">
        <w:rPr>
          <w:rFonts w:ascii="Calibri" w:hAnsi="Calibri" w:cs="Calibri"/>
          <w:lang w:val="en-US"/>
        </w:rPr>
        <w:t xml:space="preserve">Total Cost of Ownership Model and Significant Cost Parameters for the Design of Electric Bus Systems. </w:t>
      </w:r>
      <w:r w:rsidRPr="00AF027E">
        <w:rPr>
          <w:rFonts w:ascii="Calibri" w:hAnsi="Calibri" w:cs="Calibri"/>
        </w:rPr>
        <w:t>Energies 13, 3262. https://doi.org/10.3390/en13123262</w:t>
      </w:r>
    </w:p>
    <w:p w14:paraId="1F171484" w14:textId="77777777" w:rsidR="003821FD" w:rsidRPr="003821FD" w:rsidRDefault="003821FD" w:rsidP="00E20E52">
      <w:pPr>
        <w:pStyle w:val="Bibliography"/>
        <w:spacing w:before="0" w:line="360" w:lineRule="auto"/>
        <w:contextualSpacing/>
        <w:rPr>
          <w:rFonts w:ascii="Calibri" w:hAnsi="Calibri" w:cs="Calibri"/>
          <w:lang w:val="en-US"/>
        </w:rPr>
      </w:pPr>
      <w:r w:rsidRPr="00AF027E">
        <w:rPr>
          <w:rFonts w:ascii="Calibri" w:hAnsi="Calibri" w:cs="Calibri"/>
        </w:rPr>
        <w:t xml:space="preserve">Hagman, J., Ritzén, S., Stier, J.J., Susilo, Y., 2016. </w:t>
      </w:r>
      <w:r w:rsidRPr="003821FD">
        <w:rPr>
          <w:rFonts w:ascii="Calibri" w:hAnsi="Calibri" w:cs="Calibri"/>
          <w:lang w:val="en-US"/>
        </w:rPr>
        <w:t>Total cost of ownership and its potential implications for battery electric vehicle diffusion. Research in Transportation Business &amp; Management, Innovations in Technologies for Sustainable Transport 18, 11–17. https://doi.org/10.1016/j.rtbm.2016.01.003</w:t>
      </w:r>
    </w:p>
    <w:p w14:paraId="537AC7AC"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nl-BE"/>
        </w:rPr>
        <w:t xml:space="preserve">Harris, S., Weinzettel, J., Bigano, A., Källmén, A., 2020. </w:t>
      </w:r>
      <w:r w:rsidRPr="003821FD">
        <w:rPr>
          <w:rFonts w:ascii="Calibri" w:hAnsi="Calibri" w:cs="Calibri"/>
          <w:lang w:val="en-US"/>
        </w:rPr>
        <w:t>Low carbon cities in 2050? GHG emissions of European cities using production-based and consumption-based emission accounting methods. Journal of Cleaner Production 248, 119206. https://doi.org/10.1016/j.jclepro.2019.119206</w:t>
      </w:r>
    </w:p>
    <w:p w14:paraId="284AE269"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La Fleur, L., Rohdin, P., Moshfegh, B., 2019. Investigating cost-optimal energy renovation of a multifamily building in Sweden. Energy and Buildings 203, 109438. https://doi.org/10.1016/j.enbuild.2019.109438</w:t>
      </w:r>
    </w:p>
    <w:p w14:paraId="5BDC9036"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Lajunen, A., Lipman, T., 2016. Lifecycle cost assessment and carbon dioxide emissions of diesel, natural gas, hybrid electric, fuel cell hybrid and electric transit buses. Energy 106, 329–342. https://doi.org/10.1016/j.energy.2016.03.075</w:t>
      </w:r>
    </w:p>
    <w:p w14:paraId="37955F0E"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Martin, M., Brandão, M., 2017. Evaluating the Environmental Consequences of Swedish Food Consumption and Dietary Choices. Sustainability 9, 2227. https://doi.org/10.3390/su9122227</w:t>
      </w:r>
    </w:p>
    <w:p w14:paraId="786C6417"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Nordelöf, A., Romare, M., Tivander, J., 2019. Life cycle assessment of city buses powered by electricity, hydrogenated vegetable oil or diesel. Transportation Research Part D: Transport and Environment 75, 211–222. https://doi.org/10.1016/j.trd.2019.08.019</w:t>
      </w:r>
    </w:p>
    <w:p w14:paraId="7148B58C" w14:textId="75D50029" w:rsidR="003821FD" w:rsidRPr="003821FD" w:rsidRDefault="003821FD" w:rsidP="00E20E52">
      <w:pPr>
        <w:pStyle w:val="Bibliography"/>
        <w:spacing w:before="0" w:line="360" w:lineRule="auto"/>
        <w:contextualSpacing/>
        <w:rPr>
          <w:rFonts w:ascii="Calibri" w:hAnsi="Calibri" w:cs="Calibri"/>
          <w:lang w:val="fr-FR"/>
        </w:rPr>
      </w:pPr>
      <w:r w:rsidRPr="003821FD">
        <w:rPr>
          <w:rFonts w:ascii="Calibri" w:hAnsi="Calibri" w:cs="Calibri"/>
          <w:lang w:val="en-US"/>
        </w:rPr>
        <w:t xml:space="preserve">Nykvist, B., Nilsson, M., 2015. Rapidly falling costs of battery packs for electric vehicles. </w:t>
      </w:r>
      <w:r w:rsidRPr="003821FD">
        <w:rPr>
          <w:rFonts w:ascii="Calibri" w:hAnsi="Calibri" w:cs="Calibri"/>
          <w:lang w:val="fr-FR"/>
        </w:rPr>
        <w:t>Nature Climate Change 5, 329–332. https://doi.org/10.1038/nclimate2564</w:t>
      </w:r>
    </w:p>
    <w:p w14:paraId="0D69AAFB"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fr-FR"/>
        </w:rPr>
        <w:t xml:space="preserve">Piseddu, T., Vanhuyse, F., 2022. </w:t>
      </w:r>
      <w:r w:rsidRPr="003821FD">
        <w:rPr>
          <w:rFonts w:ascii="Calibri" w:hAnsi="Calibri" w:cs="Calibri"/>
          <w:lang w:val="en-US"/>
        </w:rPr>
        <w:t>Viable Cities’ Finance dashboard: user guide. Viable Cities and SEI, Stockholm.</w:t>
      </w:r>
    </w:p>
    <w:p w14:paraId="29D1210C"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Savvidou, G., Nykvist, B., 2020. Heat demand in the Swedish residential building stock - pathways on demand reduction potential based on socio-technical analysis. Energy Policy 144, 111679. https://doi.org/10.1016/j.enpol.2020.111679</w:t>
      </w:r>
    </w:p>
    <w:p w14:paraId="56ED963C"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Takman, J., Andersson-Sköld, Y., 2021. A framework for barriers, opportunities, and potential solutions for renewable energy diffusion: Exemplified by liquefied biogas for heavy trucks. Transport Policy 110, 150–160. https://doi.org/10.1016/j.tranpol.2021.05.021</w:t>
      </w:r>
    </w:p>
    <w:p w14:paraId="73A96392"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Tang, O., Rehme, J., Cerin, P., Huisingh, D., 2021. Hydrogen production in the Swedish power sector: Considering operational volatilities and long-term uncertainties. Energy Policy 148, 111990. https://doi.org/10.1016/j.enpol.2020.111990</w:t>
      </w:r>
    </w:p>
    <w:p w14:paraId="445DC7D5"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Vanhuyse, F., 2023. Climate Action and Investment Planning for Cities: Introduction to the Viable Cities’ Approach. Viable Cities and SEI, Stockholm  Sweden.</w:t>
      </w:r>
    </w:p>
    <w:p w14:paraId="5CC81084"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Weiss, M., Cloos, K.C., Helmers, E., 2020. Energy efficiency trade-offs in small to large electric vehicles. Environmental Sciences Europe 32, 46. https://doi.org/10.1186/s12302-020-00307-8</w:t>
      </w:r>
    </w:p>
    <w:p w14:paraId="022E8581" w14:textId="77777777" w:rsidR="003821FD" w:rsidRPr="003821FD" w:rsidRDefault="003821FD" w:rsidP="00E20E52">
      <w:pPr>
        <w:pStyle w:val="Bibliography"/>
        <w:spacing w:before="0" w:line="360" w:lineRule="auto"/>
        <w:contextualSpacing/>
        <w:rPr>
          <w:rFonts w:ascii="Calibri" w:hAnsi="Calibri" w:cs="Calibri"/>
          <w:lang w:val="en-US"/>
        </w:rPr>
      </w:pPr>
      <w:r w:rsidRPr="003821FD">
        <w:rPr>
          <w:rFonts w:ascii="Calibri" w:hAnsi="Calibri" w:cs="Calibri"/>
          <w:lang w:val="en-US"/>
        </w:rPr>
        <w:t>Wood, R., Grubb, M., Anger-Kraavi, A., Pollitt, H., Rizzo, B., Alexandri, E., Stadler, K., Moran, D., Hertwich, E., Tukker, A., 2020. Beyond peak emission transfers: historical impacts of globalization and future impacts of climate policies on international emission transfers. Climate Policy 20, S14–S27. https://doi.org/10.1080/14693062.2019.1619507</w:t>
      </w:r>
    </w:p>
    <w:p w14:paraId="524A4585" w14:textId="5BB388E5" w:rsidR="00113AF2" w:rsidRDefault="00AF0AFB" w:rsidP="00E20E52">
      <w:pPr>
        <w:spacing w:after="0" w:line="360" w:lineRule="auto"/>
        <w:contextualSpacing/>
        <w:jc w:val="both"/>
        <w:rPr>
          <w:lang w:val="en-US"/>
        </w:rPr>
      </w:pPr>
      <w:r w:rsidRPr="00AF0AFB">
        <w:rPr>
          <w:lang w:val="en-US"/>
        </w:rPr>
        <w:fldChar w:fldCharType="end"/>
      </w:r>
    </w:p>
    <w:p w14:paraId="27CEF8C1" w14:textId="4A29DB2E" w:rsidR="00AF0AFB" w:rsidRDefault="00AF0AFB" w:rsidP="00E20E52">
      <w:pPr>
        <w:spacing w:after="0" w:line="360" w:lineRule="auto"/>
        <w:contextualSpacing/>
        <w:jc w:val="both"/>
        <w:rPr>
          <w:lang w:val="en-US"/>
        </w:rPr>
      </w:pPr>
    </w:p>
    <w:p w14:paraId="42CA5019" w14:textId="666FA77F" w:rsidR="00AF0AFB" w:rsidRDefault="00AF0AFB" w:rsidP="00E20E52">
      <w:pPr>
        <w:spacing w:after="0" w:line="360" w:lineRule="auto"/>
        <w:contextualSpacing/>
        <w:jc w:val="both"/>
        <w:rPr>
          <w:lang w:val="en-US"/>
        </w:rPr>
      </w:pPr>
    </w:p>
    <w:p w14:paraId="647999DD" w14:textId="28108E40" w:rsidR="00AF0AFB" w:rsidRDefault="00AF0AFB" w:rsidP="00E20E52">
      <w:pPr>
        <w:spacing w:after="0" w:line="360" w:lineRule="auto"/>
        <w:contextualSpacing/>
        <w:jc w:val="both"/>
        <w:rPr>
          <w:lang w:val="en-US"/>
        </w:rPr>
      </w:pPr>
    </w:p>
    <w:p w14:paraId="15D01F69" w14:textId="562E61D6" w:rsidR="00AF0AFB" w:rsidRDefault="00C733EC" w:rsidP="00BD44C6">
      <w:pPr>
        <w:pStyle w:val="Heading1"/>
        <w:numPr>
          <w:ilvl w:val="0"/>
          <w:numId w:val="2"/>
        </w:numPr>
        <w:spacing w:before="0" w:after="0" w:line="360" w:lineRule="auto"/>
        <w:ind w:left="360" w:hanging="360"/>
        <w:contextualSpacing/>
        <w:jc w:val="both"/>
        <w:rPr>
          <w:lang w:val="en-US"/>
        </w:rPr>
      </w:pPr>
      <w:bookmarkStart w:id="16" w:name="_Toc144478192"/>
      <w:r>
        <w:rPr>
          <w:lang w:val="en-US"/>
        </w:rPr>
        <w:t>A</w:t>
      </w:r>
      <w:r w:rsidR="00AF0AFB" w:rsidRPr="002A21D1">
        <w:rPr>
          <w:lang w:val="en-US"/>
        </w:rPr>
        <w:t>nnex</w:t>
      </w:r>
      <w:r w:rsidR="00AF0AFB">
        <w:rPr>
          <w:lang w:val="en-US"/>
        </w:rPr>
        <w:t>es</w:t>
      </w:r>
      <w:bookmarkEnd w:id="16"/>
      <w:r w:rsidR="00AF0AFB" w:rsidRPr="002A21D1">
        <w:rPr>
          <w:lang w:val="en-US"/>
        </w:rPr>
        <w:t xml:space="preserve"> </w:t>
      </w:r>
    </w:p>
    <w:p w14:paraId="6C51C1A4" w14:textId="77777777" w:rsidR="00AF0AFB" w:rsidRPr="002A21D1" w:rsidRDefault="00AF0AFB" w:rsidP="00E20E52">
      <w:pPr>
        <w:pStyle w:val="Heading2"/>
        <w:spacing w:before="0" w:line="360" w:lineRule="auto"/>
        <w:contextualSpacing/>
        <w:rPr>
          <w:lang w:val="en-US"/>
        </w:rPr>
      </w:pPr>
      <w:bookmarkStart w:id="17" w:name="_Toc144478193"/>
      <w:r>
        <w:rPr>
          <w:lang w:val="en-US"/>
        </w:rPr>
        <w:t xml:space="preserve">Annex 1. </w:t>
      </w:r>
      <w:r w:rsidRPr="002A21D1">
        <w:rPr>
          <w:lang w:val="en-US"/>
        </w:rPr>
        <w:t>Data sources</w:t>
      </w:r>
      <w:bookmarkEnd w:id="17"/>
    </w:p>
    <w:tbl>
      <w:tblPr>
        <w:tblStyle w:val="TableGrid"/>
        <w:tblW w:w="0" w:type="auto"/>
        <w:tblLook w:val="04A0" w:firstRow="1" w:lastRow="0" w:firstColumn="1" w:lastColumn="0" w:noHBand="0" w:noVBand="1"/>
      </w:tblPr>
      <w:tblGrid>
        <w:gridCol w:w="4508"/>
        <w:gridCol w:w="4508"/>
      </w:tblGrid>
      <w:tr w:rsidR="00AF0AFB" w14:paraId="644CB4FD" w14:textId="77777777" w:rsidTr="00DF20E5">
        <w:tc>
          <w:tcPr>
            <w:tcW w:w="4508" w:type="dxa"/>
            <w:shd w:val="clear" w:color="auto" w:fill="00A87E"/>
          </w:tcPr>
          <w:p w14:paraId="49A8112B" w14:textId="77777777" w:rsidR="00AF0AFB" w:rsidRPr="00F17493" w:rsidRDefault="00AF0AFB" w:rsidP="00E20E52">
            <w:pPr>
              <w:spacing w:after="0" w:line="360" w:lineRule="auto"/>
              <w:contextualSpacing/>
              <w:jc w:val="both"/>
              <w:rPr>
                <w:b/>
                <w:bCs/>
                <w:lang w:val="en-US"/>
              </w:rPr>
            </w:pPr>
            <w:r>
              <w:rPr>
                <w:b/>
                <w:bCs/>
                <w:lang w:val="en-US"/>
              </w:rPr>
              <w:t>Dataset</w:t>
            </w:r>
          </w:p>
        </w:tc>
        <w:tc>
          <w:tcPr>
            <w:tcW w:w="4508" w:type="dxa"/>
            <w:shd w:val="clear" w:color="auto" w:fill="00A87E"/>
          </w:tcPr>
          <w:p w14:paraId="4FA767FA" w14:textId="77777777" w:rsidR="00AF0AFB" w:rsidRPr="00F17493" w:rsidRDefault="00AF0AFB" w:rsidP="00E20E52">
            <w:pPr>
              <w:spacing w:after="0" w:line="360" w:lineRule="auto"/>
              <w:contextualSpacing/>
              <w:jc w:val="both"/>
              <w:rPr>
                <w:b/>
                <w:bCs/>
                <w:lang w:val="en-US"/>
              </w:rPr>
            </w:pPr>
            <w:r>
              <w:rPr>
                <w:b/>
                <w:bCs/>
                <w:lang w:val="en-US"/>
              </w:rPr>
              <w:t>Source</w:t>
            </w:r>
          </w:p>
        </w:tc>
      </w:tr>
      <w:tr w:rsidR="00F7761B" w14:paraId="021D52ED" w14:textId="77777777" w:rsidTr="00E649DA">
        <w:tc>
          <w:tcPr>
            <w:tcW w:w="4508" w:type="dxa"/>
          </w:tcPr>
          <w:p w14:paraId="1113499F" w14:textId="5E429CE1" w:rsidR="00F7761B" w:rsidRDefault="00F7761B" w:rsidP="00E20E52">
            <w:pPr>
              <w:spacing w:after="0" w:line="360" w:lineRule="auto"/>
              <w:contextualSpacing/>
              <w:jc w:val="both"/>
              <w:rPr>
                <w:lang w:val="en-US"/>
              </w:rPr>
            </w:pPr>
            <w:r>
              <w:rPr>
                <w:lang w:val="en-US"/>
              </w:rPr>
              <w:t>Territorial based emissions</w:t>
            </w:r>
          </w:p>
        </w:tc>
        <w:tc>
          <w:tcPr>
            <w:tcW w:w="4508" w:type="dxa"/>
          </w:tcPr>
          <w:p w14:paraId="2BFC1E26" w14:textId="2ED4A2C2" w:rsidR="00F7761B" w:rsidRDefault="008A0DF5" w:rsidP="00E20E52">
            <w:pPr>
              <w:spacing w:after="0" w:line="360" w:lineRule="auto"/>
              <w:contextualSpacing/>
              <w:jc w:val="both"/>
            </w:pPr>
            <w:hyperlink r:id="rId27" w:history="1">
              <w:r w:rsidR="00F7761B" w:rsidRPr="00F7761B">
                <w:rPr>
                  <w:rStyle w:val="Hyperlink"/>
                </w:rPr>
                <w:t xml:space="preserve">SMHI National emissions </w:t>
              </w:r>
              <w:proofErr w:type="spellStart"/>
              <w:r w:rsidR="00F7761B" w:rsidRPr="00F7761B">
                <w:rPr>
                  <w:rStyle w:val="Hyperlink"/>
                </w:rPr>
                <w:t>database</w:t>
              </w:r>
              <w:proofErr w:type="spellEnd"/>
            </w:hyperlink>
          </w:p>
        </w:tc>
      </w:tr>
      <w:tr w:rsidR="00AF0AFB" w14:paraId="310C0BDB" w14:textId="77777777" w:rsidTr="00E649DA">
        <w:tc>
          <w:tcPr>
            <w:tcW w:w="4508" w:type="dxa"/>
          </w:tcPr>
          <w:p w14:paraId="6DC83F93" w14:textId="77777777" w:rsidR="00AF0AFB" w:rsidRDefault="00AF0AFB" w:rsidP="00E20E52">
            <w:pPr>
              <w:spacing w:after="0" w:line="360" w:lineRule="auto"/>
              <w:contextualSpacing/>
              <w:jc w:val="both"/>
              <w:rPr>
                <w:lang w:val="en-US"/>
              </w:rPr>
            </w:pPr>
            <w:r>
              <w:rPr>
                <w:lang w:val="en-US"/>
              </w:rPr>
              <w:t>Consumption-based emissions</w:t>
            </w:r>
          </w:p>
        </w:tc>
        <w:tc>
          <w:tcPr>
            <w:tcW w:w="4508" w:type="dxa"/>
          </w:tcPr>
          <w:p w14:paraId="363BD94C" w14:textId="77777777" w:rsidR="00AF0AFB" w:rsidRDefault="008A0DF5" w:rsidP="00E20E52">
            <w:pPr>
              <w:spacing w:after="0" w:line="360" w:lineRule="auto"/>
              <w:contextualSpacing/>
              <w:jc w:val="both"/>
              <w:rPr>
                <w:lang w:val="en-US"/>
              </w:rPr>
            </w:pPr>
            <w:hyperlink r:id="rId28" w:history="1">
              <w:r w:rsidR="00AF0AFB" w:rsidRPr="004C2D81">
                <w:rPr>
                  <w:rStyle w:val="Hyperlink"/>
                  <w:rFonts w:eastAsiaTheme="minorHAnsi"/>
                  <w:lang w:val="en-US" w:eastAsia="en-US"/>
                </w:rPr>
                <w:t>SEI</w:t>
              </w:r>
              <w:r w:rsidR="00AF0AFB" w:rsidRPr="004C2D81">
                <w:rPr>
                  <w:rStyle w:val="Hyperlink"/>
                  <w:lang w:val="en-US"/>
                </w:rPr>
                <w:t xml:space="preserve">’s </w:t>
              </w:r>
              <w:proofErr w:type="spellStart"/>
              <w:r w:rsidR="00AF0AFB" w:rsidRPr="004C2D81">
                <w:rPr>
                  <w:rStyle w:val="Hyperlink"/>
                  <w:lang w:val="en-US"/>
                </w:rPr>
                <w:t>Konsumtionskompassen</w:t>
              </w:r>
              <w:proofErr w:type="spellEnd"/>
            </w:hyperlink>
          </w:p>
        </w:tc>
      </w:tr>
      <w:tr w:rsidR="00AF0AFB" w14:paraId="3060DE01" w14:textId="77777777" w:rsidTr="00E649DA">
        <w:tc>
          <w:tcPr>
            <w:tcW w:w="4508" w:type="dxa"/>
          </w:tcPr>
          <w:p w14:paraId="362FA2D5" w14:textId="77777777" w:rsidR="00AF0AFB" w:rsidRDefault="00AF0AFB" w:rsidP="00E20E52">
            <w:pPr>
              <w:spacing w:after="0" w:line="360" w:lineRule="auto"/>
              <w:contextualSpacing/>
              <w:jc w:val="both"/>
              <w:rPr>
                <w:lang w:val="en-US"/>
              </w:rPr>
            </w:pPr>
            <w:r>
              <w:rPr>
                <w:lang w:val="en-US"/>
              </w:rPr>
              <w:t>Vehicles – ownership and fuels</w:t>
            </w:r>
          </w:p>
        </w:tc>
        <w:tc>
          <w:tcPr>
            <w:tcW w:w="4508" w:type="dxa"/>
          </w:tcPr>
          <w:p w14:paraId="5C8689C9" w14:textId="77777777" w:rsidR="00AF0AFB" w:rsidRDefault="008A0DF5" w:rsidP="00E20E52">
            <w:pPr>
              <w:spacing w:after="0" w:line="360" w:lineRule="auto"/>
              <w:contextualSpacing/>
              <w:jc w:val="both"/>
              <w:rPr>
                <w:lang w:val="en-US"/>
              </w:rPr>
            </w:pPr>
            <w:hyperlink r:id="rId29" w:history="1">
              <w:proofErr w:type="spellStart"/>
              <w:r w:rsidR="00AF0AFB" w:rsidRPr="005247C1">
                <w:rPr>
                  <w:rStyle w:val="Hyperlink"/>
                  <w:rFonts w:eastAsiaTheme="minorHAnsi"/>
                  <w:lang w:val="en-US" w:eastAsia="en-US"/>
                </w:rPr>
                <w:t>Trafikana</w:t>
              </w:r>
              <w:r w:rsidR="00AF0AFB" w:rsidRPr="005247C1">
                <w:rPr>
                  <w:rStyle w:val="Hyperlink"/>
                  <w:lang w:val="en-US"/>
                </w:rPr>
                <w:t>lys</w:t>
              </w:r>
              <w:proofErr w:type="spellEnd"/>
            </w:hyperlink>
          </w:p>
        </w:tc>
      </w:tr>
      <w:tr w:rsidR="00AF0AFB" w14:paraId="2F9B37E3" w14:textId="77777777" w:rsidTr="00E649DA">
        <w:tc>
          <w:tcPr>
            <w:tcW w:w="4508" w:type="dxa"/>
          </w:tcPr>
          <w:p w14:paraId="0F319B1E" w14:textId="77777777" w:rsidR="00AF0AFB" w:rsidRDefault="00AF0AFB" w:rsidP="00E20E52">
            <w:pPr>
              <w:spacing w:after="0" w:line="360" w:lineRule="auto"/>
              <w:contextualSpacing/>
              <w:jc w:val="both"/>
              <w:rPr>
                <w:lang w:val="en-US"/>
              </w:rPr>
            </w:pPr>
            <w:r>
              <w:rPr>
                <w:lang w:val="en-US"/>
              </w:rPr>
              <w:t>Public buses – numbers and fuels</w:t>
            </w:r>
          </w:p>
        </w:tc>
        <w:tc>
          <w:tcPr>
            <w:tcW w:w="4508" w:type="dxa"/>
          </w:tcPr>
          <w:p w14:paraId="7D187DB3" w14:textId="77777777" w:rsidR="00AF0AFB" w:rsidRDefault="008A0DF5" w:rsidP="00E20E52">
            <w:pPr>
              <w:spacing w:after="0" w:line="360" w:lineRule="auto"/>
              <w:contextualSpacing/>
              <w:jc w:val="both"/>
              <w:rPr>
                <w:lang w:val="en-US"/>
              </w:rPr>
            </w:pPr>
            <w:hyperlink r:id="rId30" w:history="1">
              <w:r w:rsidR="00AF0AFB" w:rsidRPr="008F0A0C">
                <w:rPr>
                  <w:rStyle w:val="Hyperlink"/>
                  <w:rFonts w:eastAsiaTheme="minorHAnsi"/>
                  <w:lang w:val="en-US" w:eastAsia="en-US"/>
                </w:rPr>
                <w:t xml:space="preserve">Svensk </w:t>
              </w:r>
              <w:proofErr w:type="spellStart"/>
              <w:r w:rsidR="00AF0AFB" w:rsidRPr="008F0A0C">
                <w:rPr>
                  <w:rStyle w:val="Hyperlink"/>
                  <w:rFonts w:eastAsiaTheme="minorHAnsi"/>
                  <w:lang w:val="en-US" w:eastAsia="en-US"/>
                </w:rPr>
                <w:t>Kollektivtrafik</w:t>
              </w:r>
              <w:proofErr w:type="spellEnd"/>
            </w:hyperlink>
          </w:p>
        </w:tc>
      </w:tr>
      <w:tr w:rsidR="00AF0AFB" w14:paraId="22E0BEE3" w14:textId="77777777" w:rsidTr="00E649DA">
        <w:tc>
          <w:tcPr>
            <w:tcW w:w="4508" w:type="dxa"/>
          </w:tcPr>
          <w:p w14:paraId="70BBBCAE" w14:textId="77777777" w:rsidR="00AF0AFB" w:rsidRDefault="00AF0AFB" w:rsidP="00E20E52">
            <w:pPr>
              <w:spacing w:after="0" w:line="360" w:lineRule="auto"/>
              <w:contextualSpacing/>
              <w:jc w:val="both"/>
              <w:rPr>
                <w:lang w:val="en-US"/>
              </w:rPr>
            </w:pPr>
            <w:r>
              <w:rPr>
                <w:lang w:val="en-US"/>
              </w:rPr>
              <w:t>Population – current size and forecasts</w:t>
            </w:r>
          </w:p>
        </w:tc>
        <w:tc>
          <w:tcPr>
            <w:tcW w:w="4508" w:type="dxa"/>
          </w:tcPr>
          <w:p w14:paraId="6D424868" w14:textId="77777777" w:rsidR="00AF0AFB" w:rsidRDefault="008A0DF5" w:rsidP="00E20E52">
            <w:pPr>
              <w:spacing w:after="0" w:line="360" w:lineRule="auto"/>
              <w:contextualSpacing/>
              <w:jc w:val="both"/>
              <w:rPr>
                <w:lang w:val="en-US"/>
              </w:rPr>
            </w:pPr>
            <w:hyperlink r:id="rId31" w:history="1">
              <w:proofErr w:type="spellStart"/>
              <w:r w:rsidR="00AF0AFB" w:rsidRPr="00B11EA4">
                <w:rPr>
                  <w:rStyle w:val="Hyperlink"/>
                  <w:rFonts w:eastAsiaTheme="minorHAnsi"/>
                  <w:lang w:val="en-US" w:eastAsia="en-US"/>
                </w:rPr>
                <w:t>Statistikmyndigheten</w:t>
              </w:r>
              <w:proofErr w:type="spellEnd"/>
              <w:r w:rsidR="00AF0AFB" w:rsidRPr="00B11EA4">
                <w:rPr>
                  <w:rStyle w:val="Hyperlink"/>
                  <w:rFonts w:eastAsiaTheme="minorHAnsi"/>
                  <w:lang w:val="en-US" w:eastAsia="en-US"/>
                </w:rPr>
                <w:t xml:space="preserve"> (SCB)</w:t>
              </w:r>
            </w:hyperlink>
          </w:p>
        </w:tc>
      </w:tr>
      <w:tr w:rsidR="00AF0AFB" w14:paraId="158BFDD9" w14:textId="77777777" w:rsidTr="00E649DA">
        <w:tc>
          <w:tcPr>
            <w:tcW w:w="4508" w:type="dxa"/>
          </w:tcPr>
          <w:p w14:paraId="2307BCBE" w14:textId="77777777" w:rsidR="00AF0AFB" w:rsidRDefault="00AF0AFB" w:rsidP="00E20E52">
            <w:pPr>
              <w:spacing w:after="0" w:line="360" w:lineRule="auto"/>
              <w:contextualSpacing/>
              <w:jc w:val="both"/>
              <w:rPr>
                <w:lang w:val="en-US"/>
              </w:rPr>
            </w:pPr>
            <w:r>
              <w:rPr>
                <w:lang w:val="en-US"/>
              </w:rPr>
              <w:t>Dwellings – size and ownership</w:t>
            </w:r>
          </w:p>
        </w:tc>
        <w:tc>
          <w:tcPr>
            <w:tcW w:w="4508" w:type="dxa"/>
          </w:tcPr>
          <w:p w14:paraId="7AE09A4A" w14:textId="77777777" w:rsidR="00AF0AFB" w:rsidRPr="00F85148" w:rsidRDefault="008A0DF5" w:rsidP="00E20E52">
            <w:pPr>
              <w:spacing w:after="0" w:line="360" w:lineRule="auto"/>
              <w:contextualSpacing/>
              <w:jc w:val="both"/>
              <w:rPr>
                <w:b/>
                <w:bCs/>
                <w:lang w:val="en-US"/>
              </w:rPr>
            </w:pPr>
            <w:hyperlink r:id="rId32" w:history="1">
              <w:proofErr w:type="spellStart"/>
              <w:r w:rsidR="00AF0AFB" w:rsidRPr="00B11EA4">
                <w:rPr>
                  <w:rStyle w:val="Hyperlink"/>
                  <w:rFonts w:eastAsiaTheme="minorHAnsi"/>
                  <w:lang w:val="en-US" w:eastAsia="en-US"/>
                </w:rPr>
                <w:t>Statistikmyndigheten</w:t>
              </w:r>
              <w:proofErr w:type="spellEnd"/>
              <w:r w:rsidR="00AF0AFB" w:rsidRPr="00B11EA4">
                <w:rPr>
                  <w:rStyle w:val="Hyperlink"/>
                  <w:rFonts w:eastAsiaTheme="minorHAnsi"/>
                  <w:lang w:val="en-US" w:eastAsia="en-US"/>
                </w:rPr>
                <w:t xml:space="preserve"> (SCB)</w:t>
              </w:r>
            </w:hyperlink>
          </w:p>
        </w:tc>
      </w:tr>
      <w:tr w:rsidR="00AF0AFB" w14:paraId="2DB40482" w14:textId="77777777" w:rsidTr="00E649DA">
        <w:tc>
          <w:tcPr>
            <w:tcW w:w="4508" w:type="dxa"/>
          </w:tcPr>
          <w:p w14:paraId="36963624" w14:textId="77777777" w:rsidR="00AF0AFB" w:rsidRDefault="00AF0AFB" w:rsidP="00E20E52">
            <w:pPr>
              <w:spacing w:after="0" w:line="360" w:lineRule="auto"/>
              <w:contextualSpacing/>
              <w:jc w:val="both"/>
              <w:rPr>
                <w:lang w:val="en-US"/>
              </w:rPr>
            </w:pPr>
            <w:r>
              <w:rPr>
                <w:lang w:val="en-US"/>
              </w:rPr>
              <w:t>District heating – production</w:t>
            </w:r>
          </w:p>
        </w:tc>
        <w:tc>
          <w:tcPr>
            <w:tcW w:w="4508" w:type="dxa"/>
          </w:tcPr>
          <w:p w14:paraId="3BA7C16B" w14:textId="77777777" w:rsidR="00AF0AFB" w:rsidRDefault="008A0DF5" w:rsidP="00E20E52">
            <w:pPr>
              <w:spacing w:after="0" w:line="360" w:lineRule="auto"/>
              <w:contextualSpacing/>
              <w:jc w:val="both"/>
              <w:rPr>
                <w:lang w:val="en-US"/>
              </w:rPr>
            </w:pPr>
            <w:hyperlink r:id="rId33" w:history="1">
              <w:proofErr w:type="spellStart"/>
              <w:r w:rsidR="00AF0AFB" w:rsidRPr="00CB2302">
                <w:rPr>
                  <w:rStyle w:val="Hyperlink"/>
                  <w:rFonts w:eastAsiaTheme="minorHAnsi"/>
                  <w:lang w:val="en-US" w:eastAsia="en-US"/>
                </w:rPr>
                <w:t>E</w:t>
              </w:r>
              <w:r w:rsidR="00AF0AFB" w:rsidRPr="00CB2302">
                <w:rPr>
                  <w:rStyle w:val="Hyperlink"/>
                  <w:lang w:val="en-US"/>
                </w:rPr>
                <w:t>nergi</w:t>
              </w:r>
              <w:proofErr w:type="spellEnd"/>
              <w:r w:rsidR="00AF0AFB" w:rsidRPr="00CB2302">
                <w:rPr>
                  <w:rStyle w:val="Hyperlink"/>
                  <w:lang w:val="en-US"/>
                </w:rPr>
                <w:t xml:space="preserve"> </w:t>
              </w:r>
              <w:proofErr w:type="spellStart"/>
              <w:r w:rsidR="00AF0AFB" w:rsidRPr="00CB2302">
                <w:rPr>
                  <w:rStyle w:val="Hyperlink"/>
                  <w:lang w:val="en-US"/>
                </w:rPr>
                <w:t>företagen</w:t>
              </w:r>
              <w:proofErr w:type="spellEnd"/>
            </w:hyperlink>
          </w:p>
        </w:tc>
      </w:tr>
      <w:tr w:rsidR="00AF0AFB" w14:paraId="788D7734" w14:textId="77777777" w:rsidTr="00E649DA">
        <w:tc>
          <w:tcPr>
            <w:tcW w:w="4508" w:type="dxa"/>
          </w:tcPr>
          <w:p w14:paraId="6E1DB282" w14:textId="77777777" w:rsidR="00AF0AFB" w:rsidRDefault="00AF0AFB" w:rsidP="00E20E52">
            <w:pPr>
              <w:spacing w:after="0" w:line="360" w:lineRule="auto"/>
              <w:contextualSpacing/>
              <w:jc w:val="both"/>
              <w:rPr>
                <w:lang w:val="en-US"/>
              </w:rPr>
            </w:pPr>
            <w:r>
              <w:rPr>
                <w:lang w:val="en-US"/>
              </w:rPr>
              <w:t>Private car usage</w:t>
            </w:r>
          </w:p>
        </w:tc>
        <w:tc>
          <w:tcPr>
            <w:tcW w:w="4508" w:type="dxa"/>
          </w:tcPr>
          <w:p w14:paraId="045629C7" w14:textId="77777777" w:rsidR="00AF0AFB" w:rsidRDefault="008A0DF5" w:rsidP="00E20E52">
            <w:pPr>
              <w:spacing w:after="0" w:line="360" w:lineRule="auto"/>
              <w:contextualSpacing/>
              <w:jc w:val="both"/>
              <w:rPr>
                <w:lang w:val="en-US"/>
              </w:rPr>
            </w:pPr>
            <w:hyperlink r:id="rId34" w:history="1">
              <w:proofErr w:type="spellStart"/>
              <w:r w:rsidR="00AF0AFB" w:rsidRPr="005247C1">
                <w:rPr>
                  <w:rStyle w:val="Hyperlink"/>
                  <w:rFonts w:eastAsiaTheme="minorHAnsi"/>
                  <w:lang w:val="en-US" w:eastAsia="en-US"/>
                </w:rPr>
                <w:t>Trafikana</w:t>
              </w:r>
              <w:r w:rsidR="00AF0AFB" w:rsidRPr="005247C1">
                <w:rPr>
                  <w:rStyle w:val="Hyperlink"/>
                  <w:lang w:val="en-US"/>
                </w:rPr>
                <w:t>lys</w:t>
              </w:r>
              <w:proofErr w:type="spellEnd"/>
            </w:hyperlink>
          </w:p>
        </w:tc>
      </w:tr>
      <w:tr w:rsidR="00AF0AFB" w14:paraId="0C353B1C" w14:textId="77777777" w:rsidTr="00E649DA">
        <w:tc>
          <w:tcPr>
            <w:tcW w:w="4508" w:type="dxa"/>
          </w:tcPr>
          <w:p w14:paraId="662303C5" w14:textId="0C8ED372" w:rsidR="00AF0AFB" w:rsidRDefault="00AF0AFB" w:rsidP="00E20E52">
            <w:pPr>
              <w:spacing w:after="0" w:line="360" w:lineRule="auto"/>
              <w:contextualSpacing/>
              <w:jc w:val="both"/>
              <w:rPr>
                <w:lang w:val="en-US"/>
              </w:rPr>
            </w:pPr>
            <w:r>
              <w:rPr>
                <w:lang w:val="en-US"/>
              </w:rPr>
              <w:t xml:space="preserve">Public transport </w:t>
            </w:r>
            <w:r w:rsidR="00C733EC">
              <w:rPr>
                <w:lang w:val="en-US"/>
              </w:rPr>
              <w:t>–</w:t>
            </w:r>
            <w:r>
              <w:rPr>
                <w:lang w:val="en-US"/>
              </w:rPr>
              <w:t xml:space="preserve"> cost</w:t>
            </w:r>
          </w:p>
        </w:tc>
        <w:tc>
          <w:tcPr>
            <w:tcW w:w="4508" w:type="dxa"/>
          </w:tcPr>
          <w:p w14:paraId="68547C66" w14:textId="77777777" w:rsidR="00AF0AFB" w:rsidRDefault="00AF0AFB" w:rsidP="00E20E52">
            <w:pPr>
              <w:spacing w:after="0" w:line="360" w:lineRule="auto"/>
              <w:contextualSpacing/>
              <w:jc w:val="both"/>
              <w:rPr>
                <w:lang w:val="en-US"/>
              </w:rPr>
            </w:pPr>
            <w:r>
              <w:rPr>
                <w:lang w:val="en-US"/>
              </w:rPr>
              <w:t>Regional public transport authorities</w:t>
            </w:r>
          </w:p>
        </w:tc>
      </w:tr>
      <w:tr w:rsidR="00AF0AFB" w14:paraId="1C301F20" w14:textId="77777777" w:rsidTr="00E649DA">
        <w:tc>
          <w:tcPr>
            <w:tcW w:w="4508" w:type="dxa"/>
          </w:tcPr>
          <w:p w14:paraId="712963C8" w14:textId="1D029F56" w:rsidR="00AF0AFB" w:rsidRDefault="00AF0AFB" w:rsidP="00E20E52">
            <w:pPr>
              <w:spacing w:after="0" w:line="360" w:lineRule="auto"/>
              <w:contextualSpacing/>
              <w:jc w:val="both"/>
              <w:rPr>
                <w:lang w:val="en-US"/>
              </w:rPr>
            </w:pPr>
            <w:r>
              <w:rPr>
                <w:lang w:val="en-US"/>
              </w:rPr>
              <w:t xml:space="preserve">Public transport </w:t>
            </w:r>
            <w:r w:rsidR="00C733EC">
              <w:rPr>
                <w:lang w:val="en-US"/>
              </w:rPr>
              <w:t>–</w:t>
            </w:r>
            <w:r>
              <w:rPr>
                <w:lang w:val="en-US"/>
              </w:rPr>
              <w:t xml:space="preserve"> supply</w:t>
            </w:r>
          </w:p>
        </w:tc>
        <w:tc>
          <w:tcPr>
            <w:tcW w:w="4508" w:type="dxa"/>
          </w:tcPr>
          <w:p w14:paraId="5BE5DBDA" w14:textId="77777777" w:rsidR="00AF0AFB" w:rsidRDefault="008A0DF5" w:rsidP="00E20E52">
            <w:pPr>
              <w:spacing w:after="0" w:line="360" w:lineRule="auto"/>
              <w:contextualSpacing/>
              <w:jc w:val="both"/>
              <w:rPr>
                <w:lang w:val="en-US"/>
              </w:rPr>
            </w:pPr>
            <w:hyperlink r:id="rId35" w:history="1">
              <w:proofErr w:type="spellStart"/>
              <w:r w:rsidR="00AF0AFB" w:rsidRPr="005247C1">
                <w:rPr>
                  <w:rStyle w:val="Hyperlink"/>
                  <w:rFonts w:eastAsiaTheme="minorHAnsi"/>
                  <w:lang w:val="en-US" w:eastAsia="en-US"/>
                </w:rPr>
                <w:t>Trafikana</w:t>
              </w:r>
              <w:r w:rsidR="00AF0AFB" w:rsidRPr="005247C1">
                <w:rPr>
                  <w:rStyle w:val="Hyperlink"/>
                  <w:lang w:val="en-US"/>
                </w:rPr>
                <w:t>lys</w:t>
              </w:r>
              <w:proofErr w:type="spellEnd"/>
            </w:hyperlink>
          </w:p>
        </w:tc>
      </w:tr>
      <w:tr w:rsidR="00DB7BEE" w:rsidRPr="00E9590B" w14:paraId="71FA0E45" w14:textId="77777777" w:rsidTr="00E649DA">
        <w:tc>
          <w:tcPr>
            <w:tcW w:w="9016" w:type="dxa"/>
            <w:gridSpan w:val="2"/>
          </w:tcPr>
          <w:p w14:paraId="4EFD9997" w14:textId="7F3C2BFD" w:rsidR="00DB7BEE" w:rsidRPr="00D15F7B" w:rsidRDefault="00DB7BEE" w:rsidP="00E20E52">
            <w:pPr>
              <w:spacing w:after="0" w:line="360" w:lineRule="auto"/>
              <w:contextualSpacing/>
              <w:jc w:val="both"/>
              <w:rPr>
                <w:lang w:val="en-GB"/>
              </w:rPr>
            </w:pPr>
            <w:r>
              <w:rPr>
                <w:lang w:val="en-US"/>
              </w:rPr>
              <w:t>F</w:t>
            </w:r>
            <w:proofErr w:type="spellStart"/>
            <w:r w:rsidRPr="00D15F7B">
              <w:rPr>
                <w:lang w:val="en-GB"/>
              </w:rPr>
              <w:t>urther</w:t>
            </w:r>
            <w:proofErr w:type="spellEnd"/>
            <w:r w:rsidRPr="00D15F7B">
              <w:rPr>
                <w:lang w:val="en-GB"/>
              </w:rPr>
              <w:t xml:space="preserve"> data sources were used to compute the socioeconomic data assumptions for territorial based emissions. They are available under </w:t>
            </w:r>
            <w:proofErr w:type="gramStart"/>
            <w:r w:rsidRPr="00D15F7B">
              <w:rPr>
                <w:lang w:val="en-GB"/>
              </w:rPr>
              <w:t>the ”Your</w:t>
            </w:r>
            <w:proofErr w:type="gramEnd"/>
            <w:r w:rsidRPr="00D15F7B">
              <w:rPr>
                <w:lang w:val="en-GB"/>
              </w:rPr>
              <w:t xml:space="preserve"> Data” tab directly in the dashboard</w:t>
            </w:r>
          </w:p>
        </w:tc>
      </w:tr>
    </w:tbl>
    <w:p w14:paraId="56CB24C2" w14:textId="77777777" w:rsidR="00AF0AFB" w:rsidRPr="002A21D1" w:rsidRDefault="00AF0AFB" w:rsidP="00E20E52">
      <w:pPr>
        <w:spacing w:after="0" w:line="360" w:lineRule="auto"/>
        <w:contextualSpacing/>
        <w:jc w:val="both"/>
        <w:rPr>
          <w:lang w:val="en-US"/>
        </w:rPr>
      </w:pPr>
    </w:p>
    <w:p w14:paraId="4A4E05DC" w14:textId="77777777" w:rsidR="00AF0AFB" w:rsidRPr="002A21D1" w:rsidRDefault="00AF0AFB" w:rsidP="00E20E52">
      <w:pPr>
        <w:pStyle w:val="Heading2"/>
        <w:spacing w:before="0" w:line="360" w:lineRule="auto"/>
        <w:contextualSpacing/>
        <w:rPr>
          <w:lang w:val="en-US"/>
        </w:rPr>
      </w:pPr>
      <w:bookmarkStart w:id="18" w:name="_Toc144478194"/>
      <w:r w:rsidRPr="002A21D1">
        <w:rPr>
          <w:lang w:val="en-US"/>
        </w:rPr>
        <w:t xml:space="preserve">Annex 2. </w:t>
      </w:r>
      <w:r>
        <w:rPr>
          <w:lang w:val="en-US"/>
        </w:rPr>
        <w:t xml:space="preserve">Link to </w:t>
      </w:r>
      <w:r w:rsidRPr="002A21D1">
        <w:rPr>
          <w:lang w:val="en-US"/>
        </w:rPr>
        <w:t>Python script</w:t>
      </w:r>
      <w:bookmarkEnd w:id="18"/>
    </w:p>
    <w:p w14:paraId="2E43AB87" w14:textId="77777777" w:rsidR="00AF0AFB" w:rsidRDefault="00AF0AFB" w:rsidP="00E20E52">
      <w:pPr>
        <w:spacing w:after="0" w:line="360" w:lineRule="auto"/>
        <w:contextualSpacing/>
        <w:jc w:val="both"/>
        <w:rPr>
          <w:lang w:val="en-US"/>
        </w:rPr>
      </w:pPr>
      <w:r>
        <w:rPr>
          <w:lang w:val="en-US"/>
        </w:rPr>
        <w:t xml:space="preserve">The GitHub repositor with the Python script, the CSS script and the datasets can be accessed </w:t>
      </w:r>
      <w:hyperlink r:id="rId36" w:history="1">
        <w:r w:rsidRPr="0030395F">
          <w:rPr>
            <w:rStyle w:val="Hyperlink"/>
            <w:lang w:val="en-US"/>
          </w:rPr>
          <w:t>here</w:t>
        </w:r>
      </w:hyperlink>
      <w:r>
        <w:rPr>
          <w:lang w:val="en-US"/>
        </w:rPr>
        <w:t>.</w:t>
      </w:r>
    </w:p>
    <w:p w14:paraId="75183561" w14:textId="77777777" w:rsidR="00AF0AFB" w:rsidRDefault="00AF0AFB" w:rsidP="00E20E52">
      <w:pPr>
        <w:spacing w:after="0" w:line="360" w:lineRule="auto"/>
        <w:contextualSpacing/>
        <w:jc w:val="both"/>
        <w:rPr>
          <w:rStyle w:val="hgkelc"/>
          <w:lang w:val="en-GB"/>
        </w:rPr>
      </w:pPr>
    </w:p>
    <w:p w14:paraId="0AB92508" w14:textId="6D110B19" w:rsidR="00AF0AFB" w:rsidRDefault="00AF0AFB" w:rsidP="00E20E52">
      <w:pPr>
        <w:spacing w:after="0" w:line="360" w:lineRule="auto"/>
        <w:contextualSpacing/>
        <w:jc w:val="both"/>
        <w:rPr>
          <w:lang w:val="en-GB"/>
        </w:rPr>
      </w:pPr>
    </w:p>
    <w:p w14:paraId="41E3B152" w14:textId="57167EB7" w:rsidR="00AF0AFB" w:rsidRDefault="00AF0AFB" w:rsidP="00E20E52">
      <w:pPr>
        <w:spacing w:after="0" w:line="360" w:lineRule="auto"/>
        <w:contextualSpacing/>
        <w:jc w:val="both"/>
        <w:rPr>
          <w:lang w:val="en-GB"/>
        </w:rPr>
      </w:pPr>
    </w:p>
    <w:p w14:paraId="150809DA" w14:textId="706E9BBA" w:rsidR="00AF0AFB" w:rsidRDefault="00AF0AFB" w:rsidP="00E20E52">
      <w:pPr>
        <w:spacing w:after="0" w:line="360" w:lineRule="auto"/>
        <w:contextualSpacing/>
        <w:jc w:val="both"/>
        <w:rPr>
          <w:lang w:val="en-GB"/>
        </w:rPr>
      </w:pPr>
    </w:p>
    <w:p w14:paraId="115F9878" w14:textId="1B68F502" w:rsidR="00AF0AFB" w:rsidRDefault="00AF0AFB" w:rsidP="00E20E52">
      <w:pPr>
        <w:spacing w:after="0" w:line="360" w:lineRule="auto"/>
        <w:contextualSpacing/>
        <w:jc w:val="both"/>
        <w:rPr>
          <w:lang w:val="en-GB"/>
        </w:rPr>
      </w:pPr>
    </w:p>
    <w:p w14:paraId="248C1729" w14:textId="2D6133AC" w:rsidR="00AF0AFB" w:rsidRDefault="00AF0AFB" w:rsidP="00E20E52">
      <w:pPr>
        <w:spacing w:after="0" w:line="360" w:lineRule="auto"/>
        <w:contextualSpacing/>
        <w:jc w:val="both"/>
        <w:rPr>
          <w:lang w:val="en-GB"/>
        </w:rPr>
      </w:pPr>
    </w:p>
    <w:p w14:paraId="050814AC" w14:textId="220DAD07" w:rsidR="00AF0AFB" w:rsidRDefault="00AF0AFB" w:rsidP="00E20E52">
      <w:pPr>
        <w:spacing w:after="0" w:line="360" w:lineRule="auto"/>
        <w:contextualSpacing/>
        <w:jc w:val="both"/>
        <w:rPr>
          <w:lang w:val="en-GB"/>
        </w:rPr>
      </w:pPr>
    </w:p>
    <w:p w14:paraId="01B3B545" w14:textId="663DD5BB" w:rsidR="00AF0AFB" w:rsidRDefault="00AF0AFB" w:rsidP="00E20E52">
      <w:pPr>
        <w:spacing w:after="0" w:line="360" w:lineRule="auto"/>
        <w:contextualSpacing/>
        <w:jc w:val="both"/>
        <w:rPr>
          <w:lang w:val="en-GB"/>
        </w:rPr>
      </w:pPr>
    </w:p>
    <w:p w14:paraId="6D3D5394" w14:textId="64BC5424" w:rsidR="00AF0AFB" w:rsidRDefault="00AF0AFB" w:rsidP="00E20E52">
      <w:pPr>
        <w:spacing w:after="0" w:line="360" w:lineRule="auto"/>
        <w:contextualSpacing/>
        <w:jc w:val="both"/>
        <w:rPr>
          <w:lang w:val="en-GB"/>
        </w:rPr>
      </w:pPr>
    </w:p>
    <w:p w14:paraId="27F4E131" w14:textId="786FCECB" w:rsidR="00AF0AFB" w:rsidRDefault="00AF0AFB" w:rsidP="00E20E52">
      <w:pPr>
        <w:spacing w:after="0" w:line="360" w:lineRule="auto"/>
        <w:contextualSpacing/>
        <w:jc w:val="both"/>
        <w:rPr>
          <w:lang w:val="en-GB"/>
        </w:rPr>
      </w:pPr>
    </w:p>
    <w:p w14:paraId="44FD6B5B" w14:textId="490C6171" w:rsidR="00AF0AFB" w:rsidRDefault="00AF0AFB" w:rsidP="00E20E52">
      <w:pPr>
        <w:spacing w:after="0" w:line="360" w:lineRule="auto"/>
        <w:contextualSpacing/>
        <w:jc w:val="both"/>
        <w:rPr>
          <w:lang w:val="en-GB"/>
        </w:rPr>
      </w:pPr>
    </w:p>
    <w:p w14:paraId="2C2732EA" w14:textId="77777777" w:rsidR="00E05529" w:rsidRDefault="00E05529" w:rsidP="00E20E52">
      <w:pPr>
        <w:spacing w:after="0" w:line="360" w:lineRule="auto"/>
        <w:contextualSpacing/>
        <w:jc w:val="both"/>
        <w:rPr>
          <w:lang w:val="en-GB"/>
        </w:rPr>
        <w:sectPr w:rsidR="00E05529" w:rsidSect="00CB6DD8">
          <w:headerReference w:type="even" r:id="rId37"/>
          <w:headerReference w:type="default" r:id="rId38"/>
          <w:footerReference w:type="even" r:id="rId39"/>
          <w:footerReference w:type="default" r:id="rId40"/>
          <w:headerReference w:type="first" r:id="rId41"/>
          <w:footerReference w:type="first" r:id="rId42"/>
          <w:pgSz w:w="11906" w:h="16838"/>
          <w:pgMar w:top="2625" w:right="1440" w:bottom="1440" w:left="1440" w:header="645" w:footer="330" w:gutter="0"/>
          <w:cols w:space="708"/>
          <w:titlePg/>
          <w:docGrid w:linePitch="360"/>
        </w:sectPr>
      </w:pPr>
    </w:p>
    <w:p w14:paraId="0F1A7C9F" w14:textId="48A7E825" w:rsidR="00000E8C" w:rsidRDefault="00000E8C" w:rsidP="00E20E52">
      <w:pPr>
        <w:pStyle w:val="Heading2"/>
        <w:spacing w:before="0" w:line="360" w:lineRule="auto"/>
        <w:contextualSpacing/>
        <w:rPr>
          <w:lang w:val="en-US"/>
        </w:rPr>
      </w:pPr>
      <w:bookmarkStart w:id="19" w:name="_Toc144478195"/>
      <w:r w:rsidRPr="00F60B2C">
        <w:rPr>
          <w:lang w:val="en-US"/>
        </w:rPr>
        <w:t xml:space="preserve">Annex </w:t>
      </w:r>
      <w:r>
        <w:rPr>
          <w:lang w:val="en-US"/>
        </w:rPr>
        <w:t>3</w:t>
      </w:r>
      <w:r w:rsidRPr="00F60B2C">
        <w:rPr>
          <w:lang w:val="en-US"/>
        </w:rPr>
        <w:t xml:space="preserve">. Average mitigation potential, capex and </w:t>
      </w:r>
      <w:proofErr w:type="spellStart"/>
      <w:r w:rsidRPr="00F60B2C">
        <w:rPr>
          <w:lang w:val="en-US"/>
        </w:rPr>
        <w:t>opex</w:t>
      </w:r>
      <w:proofErr w:type="spellEnd"/>
      <w:r w:rsidRPr="00F60B2C">
        <w:rPr>
          <w:lang w:val="en-US"/>
        </w:rPr>
        <w:t xml:space="preserve"> for different climate action strategies</w:t>
      </w:r>
      <w:r w:rsidR="00AF4333">
        <w:rPr>
          <w:lang w:val="en-US"/>
        </w:rPr>
        <w:t xml:space="preserve"> – consumption-based emissions</w:t>
      </w:r>
      <w:bookmarkEnd w:id="19"/>
    </w:p>
    <w:p w14:paraId="062B8D52" w14:textId="59F2FD1D" w:rsidR="00000E8C" w:rsidRPr="00C7569A" w:rsidRDefault="00DB7BEE" w:rsidP="00E20E52">
      <w:pPr>
        <w:spacing w:after="0" w:line="360" w:lineRule="auto"/>
        <w:contextualSpacing/>
        <w:rPr>
          <w:lang w:val="en-US"/>
        </w:rPr>
      </w:pPr>
      <w:r w:rsidRPr="00DB7BEE">
        <w:rPr>
          <w:lang w:val="en-US"/>
        </w:rPr>
        <w:t>More detail</w:t>
      </w:r>
      <w:r>
        <w:rPr>
          <w:lang w:val="en-US"/>
        </w:rPr>
        <w:t>s on the territorial based emissions assumptions are available under the “your data” tab.</w:t>
      </w:r>
    </w:p>
    <w:tbl>
      <w:tblPr>
        <w:tblStyle w:val="TableGrid"/>
        <w:tblW w:w="14235" w:type="dxa"/>
        <w:tblLook w:val="04A0" w:firstRow="1" w:lastRow="0" w:firstColumn="1" w:lastColumn="0" w:noHBand="0" w:noVBand="1"/>
      </w:tblPr>
      <w:tblGrid>
        <w:gridCol w:w="3539"/>
        <w:gridCol w:w="4961"/>
        <w:gridCol w:w="2694"/>
        <w:gridCol w:w="3041"/>
      </w:tblGrid>
      <w:tr w:rsidR="00000E8C" w:rsidRPr="007E3AB4" w14:paraId="4CBB6ADE" w14:textId="77777777" w:rsidTr="00DF20E5">
        <w:trPr>
          <w:trHeight w:val="260"/>
        </w:trPr>
        <w:tc>
          <w:tcPr>
            <w:tcW w:w="3539" w:type="dxa"/>
            <w:shd w:val="clear" w:color="auto" w:fill="00A87E"/>
          </w:tcPr>
          <w:p w14:paraId="4FD9470C" w14:textId="77777777" w:rsidR="00000E8C" w:rsidRPr="007E3AB4" w:rsidRDefault="00000E8C" w:rsidP="00E20E52">
            <w:pPr>
              <w:spacing w:after="0" w:line="360" w:lineRule="auto"/>
              <w:contextualSpacing/>
              <w:jc w:val="both"/>
              <w:rPr>
                <w:rFonts w:cstheme="minorHAnsi"/>
                <w:b/>
                <w:bCs/>
                <w:szCs w:val="22"/>
                <w:lang w:val="en-GB"/>
              </w:rPr>
            </w:pPr>
            <w:r w:rsidRPr="007E3AB4">
              <w:rPr>
                <w:rFonts w:cstheme="minorHAnsi"/>
                <w:b/>
                <w:bCs/>
                <w:szCs w:val="22"/>
                <w:lang w:val="en-GB"/>
              </w:rPr>
              <w:t>Measure</w:t>
            </w:r>
          </w:p>
        </w:tc>
        <w:tc>
          <w:tcPr>
            <w:tcW w:w="4961" w:type="dxa"/>
            <w:shd w:val="clear" w:color="auto" w:fill="00A87E"/>
          </w:tcPr>
          <w:p w14:paraId="5D878368" w14:textId="77777777" w:rsidR="00000E8C" w:rsidRPr="007E3AB4" w:rsidRDefault="00000E8C" w:rsidP="00E20E52">
            <w:pPr>
              <w:spacing w:after="0" w:line="360" w:lineRule="auto"/>
              <w:contextualSpacing/>
              <w:jc w:val="both"/>
              <w:rPr>
                <w:rFonts w:cstheme="minorHAnsi"/>
                <w:b/>
                <w:bCs/>
                <w:szCs w:val="22"/>
                <w:lang w:val="en-GB"/>
              </w:rPr>
            </w:pPr>
            <w:r w:rsidRPr="007E3AB4">
              <w:rPr>
                <w:rFonts w:cstheme="minorHAnsi"/>
                <w:b/>
                <w:bCs/>
                <w:szCs w:val="22"/>
                <w:lang w:val="en-GB"/>
              </w:rPr>
              <w:t>Env. Impact</w:t>
            </w:r>
          </w:p>
        </w:tc>
        <w:tc>
          <w:tcPr>
            <w:tcW w:w="2694" w:type="dxa"/>
            <w:shd w:val="clear" w:color="auto" w:fill="00A87E"/>
          </w:tcPr>
          <w:p w14:paraId="32C903C6" w14:textId="77777777" w:rsidR="00000E8C" w:rsidRPr="007E3AB4" w:rsidRDefault="00000E8C" w:rsidP="00E20E52">
            <w:pPr>
              <w:spacing w:after="0" w:line="360" w:lineRule="auto"/>
              <w:contextualSpacing/>
              <w:jc w:val="both"/>
              <w:rPr>
                <w:rFonts w:cstheme="minorHAnsi"/>
                <w:b/>
                <w:bCs/>
                <w:szCs w:val="22"/>
                <w:lang w:val="en-GB"/>
              </w:rPr>
            </w:pPr>
            <w:r w:rsidRPr="007E3AB4">
              <w:rPr>
                <w:rFonts w:cstheme="minorHAnsi"/>
                <w:b/>
                <w:bCs/>
                <w:szCs w:val="22"/>
                <w:lang w:val="en-GB"/>
              </w:rPr>
              <w:t>CAPEX (SEK)</w:t>
            </w:r>
          </w:p>
        </w:tc>
        <w:tc>
          <w:tcPr>
            <w:tcW w:w="3041" w:type="dxa"/>
            <w:shd w:val="clear" w:color="auto" w:fill="00A87E"/>
          </w:tcPr>
          <w:p w14:paraId="64A29859" w14:textId="77777777" w:rsidR="00000E8C" w:rsidRPr="007E3AB4" w:rsidRDefault="00000E8C" w:rsidP="00E20E52">
            <w:pPr>
              <w:spacing w:after="0" w:line="360" w:lineRule="auto"/>
              <w:contextualSpacing/>
              <w:jc w:val="both"/>
              <w:rPr>
                <w:rFonts w:cstheme="minorHAnsi"/>
                <w:b/>
                <w:bCs/>
                <w:szCs w:val="22"/>
                <w:lang w:val="en-GB"/>
              </w:rPr>
            </w:pPr>
            <w:r w:rsidRPr="007E3AB4">
              <w:rPr>
                <w:rFonts w:cstheme="minorHAnsi"/>
                <w:b/>
                <w:bCs/>
                <w:szCs w:val="22"/>
                <w:lang w:val="en-GB"/>
              </w:rPr>
              <w:t>OPEX (SEK)</w:t>
            </w:r>
          </w:p>
        </w:tc>
      </w:tr>
      <w:tr w:rsidR="00000E8C" w:rsidRPr="007E3AB4" w14:paraId="2FA51E5F" w14:textId="77777777" w:rsidTr="00E649DA">
        <w:trPr>
          <w:trHeight w:val="533"/>
        </w:trPr>
        <w:tc>
          <w:tcPr>
            <w:tcW w:w="3539" w:type="dxa"/>
          </w:tcPr>
          <w:p w14:paraId="4CFFAD00"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Vegetarian diet</w:t>
            </w:r>
          </w:p>
        </w:tc>
        <w:tc>
          <w:tcPr>
            <w:tcW w:w="4961" w:type="dxa"/>
          </w:tcPr>
          <w:p w14:paraId="079CB77D" w14:textId="11FB2ABE"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66% of current average diet </w:t>
            </w:r>
            <w:r w:rsidRPr="007E3AB4">
              <w:rPr>
                <w:rFonts w:cstheme="minorHAnsi"/>
                <w:szCs w:val="22"/>
                <w:lang w:val="en-GB"/>
              </w:rPr>
              <w:fldChar w:fldCharType="begin"/>
            </w:r>
            <w:r w:rsidR="003821FD">
              <w:rPr>
                <w:rFonts w:cstheme="minorHAnsi"/>
                <w:szCs w:val="22"/>
                <w:lang w:val="en-GB"/>
              </w:rPr>
              <w:instrText xml:space="preserve"> ADDIN ZOTERO_ITEM CSL_CITATION {"citationID":"6hyI12Us","properties":{"formattedCitation":"(Martin and Brand\\uc0\\u227{}o, 2017)","plainCitation":"(Martin and Brandão, 2017)","noteIndex":0},"citationItems":[{"id":4665,"uris":["http://zotero.org/groups/2281212/items/IMCRMI9U"],"itemData":{"id":4665,"type":"article-journal","abstract":"In recent years, a growing interest from consumers to know the origins and contents of foods has put alternative choices, such as organic foods and dietary changes, on the agenda. Dietary choices are important to address, as many studies find that activities related to food production account for nearly 20–30% of anthropogenic greenhouse gas (GHG) emissions. Nonetheless, while GHG emissions are important, often other environmental impact categories are not considered in the assessment of the sustainability of different foods, diets and choices. This study aims to quantify the implications of dietary choices for Swedish food consumption on a broad range of environmental impact categories using life cycle assessment to provide insight into the impacts, and potential tradeoffs, associated with certain food products and dietary choices. Scenarios are used to assess the implications of diets with reduced meat, increased Swedish food consumption, increased organic foods, vegan and semi-vegetarian diets. The results indicate that tradeoffs could be possible with certain dietary choices. Increasing Swedish food production and consumption may lead to lower impacts for all impact categories by reducing imports, although limitations in growing season and availability of foods in Sweden allows only for minor increases. The results also indicate that large reductions of greenhouse gas emissions are possible by reducing meat consumption, i.e., by halving meat consumption and through vegan and vegetarian diets. Nonetheless, an increase in vegetable, legume and fruit products may lead to a potential increase in human and ecosystem toxicity. Diets based on nutritional guidelines, show reductions in all impact categories, as these guidelines call for an increase in vegetables and fruits and a reduction in meat consumption. An increase in organic foods showed no significant change in climate impact, although toxicity potential was reduced significantly. Increasing consumption of organic foods may also lead to a reduction in biodiversity damage potential, and if all food is produced organically, it risks increasing eutrophication and land use.","container-title":"Sustainability","DOI":"10.3390/su9122227","issue":"12","language":"en","license":"http://creativecommons.org/licenses/by/3.0/","note":"number: 12\npublisher: Multidisciplinary Digital Publishing Institute","page":"2227","source":"www.mdpi.com","title":"Evaluating the Environmental Consequences of Swedish Food Consumption and Dietary Choices","URL":"https://www.mdpi.com/2071-1050/9/12/2227","volume":"9","author":[{"family":"Martin","given":"Michael"},{"family":"Brandão","given":"Miguel"}],"accessed":{"date-parts":[["2021",5,28]]},"issued":{"date-parts":[["2017",12]]}}}],"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(Martin and Brandão, 2017)</w:t>
            </w:r>
            <w:r w:rsidRPr="007E3AB4">
              <w:rPr>
                <w:rFonts w:cstheme="minorHAnsi"/>
                <w:szCs w:val="22"/>
                <w:lang w:val="en-GB"/>
              </w:rPr>
              <w:fldChar w:fldCharType="end"/>
            </w:r>
          </w:p>
        </w:tc>
        <w:tc>
          <w:tcPr>
            <w:tcW w:w="2694" w:type="dxa"/>
          </w:tcPr>
          <w:p w14:paraId="2237EBC3"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565C57E7"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E9590B" w14:paraId="0ABB4D1C" w14:textId="77777777" w:rsidTr="00E649DA">
        <w:trPr>
          <w:trHeight w:val="533"/>
        </w:trPr>
        <w:tc>
          <w:tcPr>
            <w:tcW w:w="3539" w:type="dxa"/>
          </w:tcPr>
          <w:p w14:paraId="6C8AFA1A"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Vegan diet</w:t>
            </w:r>
          </w:p>
        </w:tc>
        <w:tc>
          <w:tcPr>
            <w:tcW w:w="4961" w:type="dxa"/>
          </w:tcPr>
          <w:p w14:paraId="2AA99E40" w14:textId="7206CD4C"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33% of current average diet </w:t>
            </w:r>
            <w:r w:rsidRPr="007E3AB4">
              <w:rPr>
                <w:rFonts w:cstheme="minorHAnsi"/>
                <w:szCs w:val="22"/>
                <w:lang w:val="en-GB"/>
              </w:rPr>
              <w:fldChar w:fldCharType="begin"/>
            </w:r>
            <w:r w:rsidR="003821FD">
              <w:rPr>
                <w:rFonts w:cstheme="minorHAnsi"/>
                <w:szCs w:val="22"/>
                <w:lang w:val="en-GB"/>
              </w:rPr>
              <w:instrText xml:space="preserve"> ADDIN ZOTERO_ITEM CSL_CITATION {"citationID":"ZoYoHjvS","properties":{"formattedCitation":"(Martin and Brand\\uc0\\u227{}o, 2017)","plainCitation":"(Martin and Brandão, 2017)","noteIndex":0},"citationItems":[{"id":4665,"uris":["http://zotero.org/groups/2281212/items/IMCRMI9U"],"itemData":{"id":4665,"type":"article-journal","abstract":"In recent years, a growing interest from consumers to know the origins and contents of foods has put alternative choices, such as organic foods and dietary changes, on the agenda. Dietary choices are important to address, as many studies find that activities related to food production account for nearly 20–30% of anthropogenic greenhouse gas (GHG) emissions. Nonetheless, while GHG emissions are important, often other environmental impact categories are not considered in the assessment of the sustainability of different foods, diets and choices. This study aims to quantify the implications of dietary choices for Swedish food consumption on a broad range of environmental impact categories using life cycle assessment to provide insight into the impacts, and potential tradeoffs, associated with certain food products and dietary choices. Scenarios are used to assess the implications of diets with reduced meat, increased Swedish food consumption, increased organic foods, vegan and semi-vegetarian diets. The results indicate that tradeoffs could be possible with certain dietary choices. Increasing Swedish food production and consumption may lead to lower impacts for all impact categories by reducing imports, although limitations in growing season and availability of foods in Sweden allows only for minor increases. The results also indicate that large reductions of greenhouse gas emissions are possible by reducing meat consumption, i.e., by halving meat consumption and through vegan and vegetarian diets. Nonetheless, an increase in vegetable, legume and fruit products may lead to a potential increase in human and ecosystem toxicity. Diets based on nutritional guidelines, show reductions in all impact categories, as these guidelines call for an increase in vegetables and fruits and a reduction in meat consumption. An increase in organic foods showed no significant change in climate impact, although toxicity potential was reduced significantly. Increasing consumption of organic foods may also lead to a reduction in biodiversity damage potential, and if all food is produced organically, it risks increasing eutrophication and land use.","container-title":"Sustainability","DOI":"10.3390/su9122227","issue":"12","language":"en","license":"http://creativecommons.org/licenses/by/3.0/","note":"number: 12\npublisher: Multidisciplinary Digital Publishing Institute","page":"2227","source":"www.mdpi.com","title":"Evaluating the Environmental Consequences of Swedish Food Consumption and Dietary Choices","URL":"https://www.mdpi.com/2071-1050/9/12/2227","volume":"9","author":[{"family":"Martin","given":"Michael"},{"family":"Brandão","given":"Miguel"}],"accessed":{"date-parts":[["2021",5,28]]},"issued":{"date-parts":[["2017",12]]}}}],"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(Martin and Brandão, 2017)</w:t>
            </w:r>
            <w:r w:rsidRPr="007E3AB4">
              <w:rPr>
                <w:rFonts w:cstheme="minorHAnsi"/>
                <w:szCs w:val="22"/>
                <w:lang w:val="en-GB"/>
              </w:rPr>
              <w:fldChar w:fldCharType="end"/>
            </w:r>
          </w:p>
        </w:tc>
        <w:tc>
          <w:tcPr>
            <w:tcW w:w="2694" w:type="dxa"/>
          </w:tcPr>
          <w:p w14:paraId="4828B8D1"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5D471346"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E9590B" w14:paraId="256D0670" w14:textId="77777777" w:rsidTr="00E649DA">
        <w:trPr>
          <w:trHeight w:val="521"/>
        </w:trPr>
        <w:tc>
          <w:tcPr>
            <w:tcW w:w="3539" w:type="dxa"/>
          </w:tcPr>
          <w:p w14:paraId="4E89D522"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Meat reduction</w:t>
            </w:r>
          </w:p>
        </w:tc>
        <w:tc>
          <w:tcPr>
            <w:tcW w:w="4961" w:type="dxa"/>
          </w:tcPr>
          <w:p w14:paraId="18C24867" w14:textId="56460A24"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75% of current average diet </w:t>
            </w:r>
            <w:r w:rsidRPr="007E3AB4">
              <w:rPr>
                <w:rFonts w:cstheme="minorHAnsi"/>
                <w:szCs w:val="22"/>
                <w:lang w:val="en-GB"/>
              </w:rPr>
              <w:fldChar w:fldCharType="begin"/>
            </w:r>
            <w:r w:rsidR="003821FD">
              <w:rPr>
                <w:rFonts w:cstheme="minorHAnsi"/>
                <w:szCs w:val="22"/>
                <w:lang w:val="en-GB"/>
              </w:rPr>
              <w:instrText xml:space="preserve"> ADDIN ZOTERO_ITEM CSL_CITATION {"citationID":"gMeVecUX","properties":{"formattedCitation":"(Martin and Brand\\uc0\\u227{}o, 2017)","plainCitation":"(Martin and Brandão, 2017)","noteIndex":0},"citationItems":[{"id":4665,"uris":["http://zotero.org/groups/2281212/items/IMCRMI9U"],"itemData":{"id":4665,"type":"article-journal","abstract":"In recent years, a growing interest from consumers to know the origins and contents of foods has put alternative choices, such as organic foods and dietary changes, on the agenda. Dietary choices are important to address, as many studies find that activities related to food production account for nearly 20–30% of anthropogenic greenhouse gas (GHG) emissions. Nonetheless, while GHG emissions are important, often other environmental impact categories are not considered in the assessment of the sustainability of different foods, diets and choices. This study aims to quantify the implications of dietary choices for Swedish food consumption on a broad range of environmental impact categories using life cycle assessment to provide insight into the impacts, and potential tradeoffs, associated with certain food products and dietary choices. Scenarios are used to assess the implications of diets with reduced meat, increased Swedish food consumption, increased organic foods, vegan and semi-vegetarian diets. The results indicate that tradeoffs could be possible with certain dietary choices. Increasing Swedish food production and consumption may lead to lower impacts for all impact categories by reducing imports, although limitations in growing season and availability of foods in Sweden allows only for minor increases. The results also indicate that large reductions of greenhouse gas emissions are possible by reducing meat consumption, i.e., by halving meat consumption and through vegan and vegetarian diets. Nonetheless, an increase in vegetable, legume and fruit products may lead to a potential increase in human and ecosystem toxicity. Diets based on nutritional guidelines, show reductions in all impact categories, as these guidelines call for an increase in vegetables and fruits and a reduction in meat consumption. An increase in organic foods showed no significant change in climate impact, although toxicity potential was reduced significantly. Increasing consumption of organic foods may also lead to a reduction in biodiversity damage potential, and if all food is produced organically, it risks increasing eutrophication and land use.","container-title":"Sustainability","DOI":"10.3390/su9122227","issue":"12","language":"en","license":"http://creativecommons.org/licenses/by/3.0/","note":"number: 12\npublisher: Multidisciplinary Digital Publishing Institute","page":"2227","source":"www.mdpi.com","title":"Evaluating the Environmental Consequences of Swedish Food Consumption and Dietary Choices","URL":"https://www.mdpi.com/2071-1050/9/12/2227","volume":"9","author":[{"family":"Martin","given":"Michael"},{"family":"Brandão","given":"Miguel"}],"accessed":{"date-parts":[["2021",5,28]]},"issued":{"date-parts":[["2017",12]]}}}],"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(Martin and Brandão, 2017)</w:t>
            </w:r>
            <w:r w:rsidRPr="007E3AB4">
              <w:rPr>
                <w:rFonts w:cstheme="minorHAnsi"/>
                <w:szCs w:val="22"/>
                <w:lang w:val="en-GB"/>
              </w:rPr>
              <w:fldChar w:fldCharType="end"/>
            </w:r>
          </w:p>
        </w:tc>
        <w:tc>
          <w:tcPr>
            <w:tcW w:w="2694" w:type="dxa"/>
          </w:tcPr>
          <w:p w14:paraId="70606318"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3CC67B17"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E9590B" w14:paraId="65A06E42" w14:textId="77777777" w:rsidTr="00E649DA">
        <w:trPr>
          <w:trHeight w:val="533"/>
        </w:trPr>
        <w:tc>
          <w:tcPr>
            <w:tcW w:w="3539" w:type="dxa"/>
          </w:tcPr>
          <w:p w14:paraId="629CAB6F"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Nutrition diet</w:t>
            </w:r>
          </w:p>
        </w:tc>
        <w:tc>
          <w:tcPr>
            <w:tcW w:w="4961" w:type="dxa"/>
          </w:tcPr>
          <w:p w14:paraId="2F69BCBC" w14:textId="7EA6B612"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75% of current average diet </w:t>
            </w:r>
            <w:r w:rsidRPr="007E3AB4">
              <w:rPr>
                <w:rFonts w:cstheme="minorHAnsi"/>
                <w:szCs w:val="22"/>
                <w:lang w:val="en-GB"/>
              </w:rPr>
              <w:fldChar w:fldCharType="begin"/>
            </w:r>
            <w:r w:rsidR="003821FD">
              <w:rPr>
                <w:rFonts w:cstheme="minorHAnsi"/>
                <w:szCs w:val="22"/>
                <w:lang w:val="en-GB"/>
              </w:rPr>
              <w:instrText xml:space="preserve"> ADDIN ZOTERO_ITEM CSL_CITATION {"citationID":"Atr3d1RC","properties":{"formattedCitation":"(Martin and Brand\\uc0\\u227{}o, 2017)","plainCitation":"(Martin and Brandão, 2017)","noteIndex":0},"citationItems":[{"id":4665,"uris":["http://zotero.org/groups/2281212/items/IMCRMI9U"],"itemData":{"id":4665,"type":"article-journal","abstract":"In recent years, a growing interest from consumers to know the origins and contents of foods has put alternative choices, such as organic foods and dietary changes, on the agenda. Dietary choices are important to address, as many studies find that activities related to food production account for nearly 20–30% of anthropogenic greenhouse gas (GHG) emissions. Nonetheless, while GHG emissions are important, often other environmental impact categories are not considered in the assessment of the sustainability of different foods, diets and choices. This study aims to quantify the implications of dietary choices for Swedish food consumption on a broad range of environmental impact categories using life cycle assessment to provide insight into the impacts, and potential tradeoffs, associated with certain food products and dietary choices. Scenarios are used to assess the implications of diets with reduced meat, increased Swedish food consumption, increased organic foods, vegan and semi-vegetarian diets. The results indicate that tradeoffs could be possible with certain dietary choices. Increasing Swedish food production and consumption may lead to lower impacts for all impact categories by reducing imports, although limitations in growing season and availability of foods in Sweden allows only for minor increases. The results also indicate that large reductions of greenhouse gas emissions are possible by reducing meat consumption, i.e., by halving meat consumption and through vegan and vegetarian diets. Nonetheless, an increase in vegetable, legume and fruit products may lead to a potential increase in human and ecosystem toxicity. Diets based on nutritional guidelines, show reductions in all impact categories, as these guidelines call for an increase in vegetables and fruits and a reduction in meat consumption. An increase in organic foods showed no significant change in climate impact, although toxicity potential was reduced significantly. Increasing consumption of organic foods may also lead to a reduction in biodiversity damage potential, and if all food is produced organically, it risks increasing eutrophication and land use.","container-title":"Sustainability","DOI":"10.3390/su9122227","issue":"12","language":"en","license":"http://creativecommons.org/licenses/by/3.0/","note":"number: 12\npublisher: Multidisciplinary Digital Publishing Institute","page":"2227","source":"www.mdpi.com","title":"Evaluating the Environmental Consequences of Swedish Food Consumption and Dietary Choices","URL":"https://www.mdpi.com/2071-1050/9/12/2227","volume":"9","author":[{"family":"Martin","given":"Michael"},{"family":"Brandão","given":"Miguel"}],"accessed":{"date-parts":[["2021",5,28]]},"issued":{"date-parts":[["2017",12]]}}}],"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(Martin and Brandão, 2017)</w:t>
            </w:r>
            <w:r w:rsidRPr="007E3AB4">
              <w:rPr>
                <w:rFonts w:cstheme="minorHAnsi"/>
                <w:szCs w:val="22"/>
                <w:lang w:val="en-GB"/>
              </w:rPr>
              <w:fldChar w:fldCharType="end"/>
            </w:r>
          </w:p>
        </w:tc>
        <w:tc>
          <w:tcPr>
            <w:tcW w:w="2694" w:type="dxa"/>
          </w:tcPr>
          <w:p w14:paraId="067A31FF"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18DCB1DF"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E9590B" w14:paraId="048CEF45" w14:textId="77777777" w:rsidTr="00E649DA">
        <w:trPr>
          <w:trHeight w:val="533"/>
        </w:trPr>
        <w:tc>
          <w:tcPr>
            <w:tcW w:w="3539" w:type="dxa"/>
          </w:tcPr>
          <w:p w14:paraId="56B2C74C"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30% of clothing consumption reduction</w:t>
            </w:r>
          </w:p>
        </w:tc>
        <w:tc>
          <w:tcPr>
            <w:tcW w:w="4961" w:type="dxa"/>
          </w:tcPr>
          <w:p w14:paraId="239488FA"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30% emissions reduction (own assumption)</w:t>
            </w:r>
          </w:p>
        </w:tc>
        <w:tc>
          <w:tcPr>
            <w:tcW w:w="2694" w:type="dxa"/>
          </w:tcPr>
          <w:p w14:paraId="1457948C"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7EEA7B66"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E9590B" w14:paraId="2FBBBCB4" w14:textId="77777777" w:rsidTr="00E649DA">
        <w:trPr>
          <w:trHeight w:val="521"/>
        </w:trPr>
        <w:tc>
          <w:tcPr>
            <w:tcW w:w="3539" w:type="dxa"/>
          </w:tcPr>
          <w:p w14:paraId="2DC3DD3E"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Doubling clothing life</w:t>
            </w:r>
          </w:p>
        </w:tc>
        <w:tc>
          <w:tcPr>
            <w:tcW w:w="4961" w:type="dxa"/>
          </w:tcPr>
          <w:p w14:paraId="4E0B6FAF"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50% emissions reduction (own assumption)</w:t>
            </w:r>
          </w:p>
        </w:tc>
        <w:tc>
          <w:tcPr>
            <w:tcW w:w="2694" w:type="dxa"/>
          </w:tcPr>
          <w:p w14:paraId="27C87673"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5074E681"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E9590B" w14:paraId="6315D7A5" w14:textId="77777777" w:rsidTr="00E649DA">
        <w:trPr>
          <w:trHeight w:val="533"/>
        </w:trPr>
        <w:tc>
          <w:tcPr>
            <w:tcW w:w="3539" w:type="dxa"/>
          </w:tcPr>
          <w:p w14:paraId="50431710"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Halving furniture consumption</w:t>
            </w:r>
          </w:p>
        </w:tc>
        <w:tc>
          <w:tcPr>
            <w:tcW w:w="4961" w:type="dxa"/>
          </w:tcPr>
          <w:p w14:paraId="38D89A34"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50% emissions reduction (own assumption)</w:t>
            </w:r>
          </w:p>
        </w:tc>
        <w:tc>
          <w:tcPr>
            <w:tcW w:w="2694" w:type="dxa"/>
          </w:tcPr>
          <w:p w14:paraId="68A08B1D"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7205C9A6"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7E3AB4" w14:paraId="3D7CECCA" w14:textId="77777777" w:rsidTr="00E649DA">
        <w:trPr>
          <w:trHeight w:val="1860"/>
        </w:trPr>
        <w:tc>
          <w:tcPr>
            <w:tcW w:w="3539" w:type="dxa"/>
          </w:tcPr>
          <w:p w14:paraId="57FEB5F9"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Electric buses adoption</w:t>
            </w:r>
          </w:p>
        </w:tc>
        <w:tc>
          <w:tcPr>
            <w:tcW w:w="4961" w:type="dxa"/>
          </w:tcPr>
          <w:p w14:paraId="6197F3E9" w14:textId="5E6553DD"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17% of diesel buses emissions (consumption-based emissions) </w:t>
            </w:r>
            <w:r w:rsidRPr="007E3AB4">
              <w:rPr>
                <w:rFonts w:cstheme="minorHAnsi"/>
                <w:szCs w:val="22"/>
                <w:lang w:val="en-GB"/>
              </w:rPr>
              <w:fldChar w:fldCharType="begin"/>
            </w:r>
            <w:r w:rsidR="003821FD">
              <w:rPr>
                <w:rFonts w:cstheme="minorHAnsi"/>
                <w:szCs w:val="22"/>
                <w:lang w:val="en-GB"/>
              </w:rPr>
              <w:instrText xml:space="preserve"> ADDIN ZOTERO_ITEM CSL_CITATION {"citationID":"r4deKI39","properties":{"formattedCitation":"(Nordel\\uc0\\u246{}f et al., 2019)","plainCitation":"(Nordelöf et al., 2019)","noteIndex":0},"citationItems":[{"id":4644,"uris":["http://zotero.org/groups/2281212/items/HGC3FY5H"],"itemData":{"id":4644,"type":"article-journal","abstract":"This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URL":"https://www.sciencedirect.com/science/article/pii/S1361920919302792","volume":"75","author":[{"family":"Nordelöf","given":"Anders"},{"family":"Romare","given":"Mia"},{"family":"Tivander","given":"Johan"}],"accessed":{"date-parts":[["2021",6,8]]},"issued":{"date-parts":[["2019",10,1]]}}}],"schema":"https://github.com/citation-style-language/schema/raw/master/csl-citation.json"} </w:instrText>
            </w:r>
            <w:r w:rsidRPr="007E3AB4">
              <w:rPr>
                <w:rFonts w:cstheme="minorHAnsi"/>
                <w:szCs w:val="22"/>
                <w:lang w:val="en-GB"/>
              </w:rPr>
              <w:fldChar w:fldCharType="separate"/>
            </w:r>
            <w:r w:rsidR="003821FD" w:rsidRPr="00F955A1">
              <w:rPr>
                <w:rFonts w:ascii="Calibri" w:hAnsi="Calibri" w:cs="Calibri"/>
                <w:lang w:val="en-GB"/>
              </w:rPr>
              <w:t>(Nordelöf et al., 2019)</w:t>
            </w:r>
            <w:r w:rsidRPr="007E3AB4">
              <w:rPr>
                <w:rFonts w:cstheme="minorHAnsi"/>
                <w:szCs w:val="22"/>
                <w:lang w:val="en-GB"/>
              </w:rPr>
              <w:fldChar w:fldCharType="end"/>
            </w:r>
          </w:p>
          <w:p w14:paraId="1D752569" w14:textId="0DBFA354" w:rsidR="00000E8C" w:rsidRPr="003821FD" w:rsidRDefault="00000E8C" w:rsidP="00E20E52">
            <w:pPr>
              <w:pStyle w:val="ListParagraph"/>
              <w:numPr>
                <w:ilvl w:val="0"/>
                <w:numId w:val="9"/>
              </w:numPr>
              <w:spacing w:after="0" w:line="360" w:lineRule="auto"/>
              <w:jc w:val="both"/>
              <w:rPr>
                <w:rFonts w:cstheme="minorHAnsi"/>
                <w:szCs w:val="22"/>
                <w:lang w:val="fr-FR"/>
              </w:rPr>
            </w:pPr>
            <w:r w:rsidRPr="003821FD">
              <w:rPr>
                <w:rFonts w:cstheme="minorHAnsi"/>
                <w:szCs w:val="22"/>
                <w:lang w:val="fr-FR"/>
              </w:rPr>
              <w:t xml:space="preserve">7 % of diesel buses </w:t>
            </w:r>
            <w:proofErr w:type="spellStart"/>
            <w:r w:rsidRPr="003821FD">
              <w:rPr>
                <w:rFonts w:cstheme="minorHAnsi"/>
                <w:szCs w:val="22"/>
                <w:lang w:val="fr-FR"/>
              </w:rPr>
              <w:t>emissions</w:t>
            </w:r>
            <w:proofErr w:type="spellEnd"/>
            <w:r w:rsidRPr="003821FD">
              <w:rPr>
                <w:rFonts w:cstheme="minorHAnsi"/>
                <w:szCs w:val="22"/>
                <w:lang w:val="fr-FR"/>
              </w:rPr>
              <w:t xml:space="preserve"> (territorial </w:t>
            </w:r>
            <w:proofErr w:type="spellStart"/>
            <w:r w:rsidRPr="003821FD">
              <w:rPr>
                <w:rFonts w:cstheme="minorHAnsi"/>
                <w:szCs w:val="22"/>
                <w:lang w:val="fr-FR"/>
              </w:rPr>
              <w:t>emissions</w:t>
            </w:r>
            <w:proofErr w:type="spellEnd"/>
            <w:r w:rsidRPr="003821FD">
              <w:rPr>
                <w:rFonts w:cstheme="minorHAnsi"/>
                <w:szCs w:val="22"/>
                <w:lang w:val="fr-FR"/>
              </w:rPr>
              <w:t xml:space="preserve">) </w:t>
            </w:r>
            <w:r w:rsidRPr="007E3AB4">
              <w:rPr>
                <w:rFonts w:cstheme="minorHAnsi"/>
                <w:szCs w:val="22"/>
                <w:lang w:val="en-GB"/>
              </w:rPr>
              <w:fldChar w:fldCharType="begin"/>
            </w:r>
            <w:r w:rsidR="003821FD" w:rsidRPr="003821FD">
              <w:rPr>
                <w:rFonts w:cstheme="minorHAnsi"/>
                <w:szCs w:val="22"/>
                <w:lang w:val="fr-FR"/>
              </w:rPr>
              <w:instrText xml:space="preserve"> ADDIN ZOTERO_ITEM CSL_CITATION {"citationID":"euDp4gRS","properties":{"formattedCitation":"(Nordel\\uc0\\u246{}f et al., 2019)","plainCitation":"(Nordelöf et al., 2019)","noteIndex":0},"citationItems":[{"id":4644,"uris":["http://zotero.org/groups/2281212/items/HGC3FY5H"],"itemData":{"id":4644,"type":"article-journal","abstract":"This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URL":"https://www.sciencedirect.com/science/article/pii/S1361920919302792","volume":"75","author":[{"family":"Nordelöf","given":"Anders"},{"family":"Romare","given":"Mia"},{"family":"Tivander","given":"Johan"}],"accessed":{"date-parts":[["2021",6,8]]},"issued":{"date-parts":[["2019",10,1]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fr-FR"/>
              </w:rPr>
              <w:t>(Nordelöf et al., 2019)</w:t>
            </w:r>
            <w:r w:rsidRPr="007E3AB4">
              <w:rPr>
                <w:rFonts w:cstheme="minorHAnsi"/>
                <w:szCs w:val="22"/>
                <w:lang w:val="en-GB"/>
              </w:rPr>
              <w:fldChar w:fldCharType="end"/>
            </w:r>
          </w:p>
        </w:tc>
        <w:tc>
          <w:tcPr>
            <w:tcW w:w="2694" w:type="dxa"/>
          </w:tcPr>
          <w:p w14:paraId="3228F8F9"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5 809 860; </w:t>
            </w:r>
            <w:proofErr w:type="gramStart"/>
            <w:r w:rsidRPr="007E3AB4">
              <w:rPr>
                <w:rFonts w:cstheme="minorHAnsi"/>
                <w:szCs w:val="22"/>
                <w:lang w:val="en-GB"/>
              </w:rPr>
              <w:t>4 730 886;</w:t>
            </w:r>
            <w:proofErr w:type="gramEnd"/>
          </w:p>
          <w:p w14:paraId="68E43B67"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4 393 894</w:t>
            </w:r>
          </w:p>
          <w:p w14:paraId="16C7BB2F"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(depending on powertrain)</w:t>
            </w:r>
          </w:p>
          <w:p w14:paraId="0764A89C" w14:textId="63B1930F"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fldChar w:fldCharType="begin"/>
            </w:r>
            <w:r w:rsidR="003821FD">
              <w:rPr>
                <w:rFonts w:cstheme="minorHAnsi"/>
                <w:szCs w:val="22"/>
                <w:lang w:val="en-GB"/>
              </w:rPr>
              <w:instrText xml:space="preserve"> ADDIN ZOTERO_ITEM CSL_CITATION {"citationID":"rfFDOadv","properties":{"formattedCitation":"(Bloomberg NEF, 2018)","plainCitation":"(Bloomberg NEF, 2018)","noteIndex":0},"citationItems":[{"id":3524,"uris":["http://zotero.org/groups/2281212/items/GDURWNHN"],"itemData":{"id":3524,"type":"post-weblog","abstract":"Key findings in the report, Electric Buses in Cities: Driving Towards Cleaner Air and Lower CO2, highlight e-buses’ competitiveness with conventional diesel and CNG fueled buses. Learn more.","container-title":"BloombergNEF","language":"en-US","note":"section: Report","title":"Electric Buses in Cities: Driving Towards Cleaner Air and Lower CO2","title-short":"Electric Buses in Cities","URL":"https://about.bnef.com/blog/electric-buses-cities-driving-towards-cleaner-air-lower-co2/","author":[{"family":"Bloomberg NEF","given":""}],"accessed":{"date-parts":[["2021",4,27]]},"issued":{"date-parts":[["2018",4,10]]}}}],"schema":"https://github.com/citation-style-language/schema/raw/master/csl-citation.json"}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(Bloomberg NEF, 2018)</w:t>
            </w:r>
            <w:r w:rsidRPr="007E3AB4">
              <w:rPr>
                <w:rFonts w:cstheme="minorHAnsi"/>
                <w:szCs w:val="22"/>
                <w:lang w:val="en-GB"/>
              </w:rPr>
              <w:fldChar w:fldCharType="end"/>
            </w:r>
          </w:p>
        </w:tc>
        <w:tc>
          <w:tcPr>
            <w:tcW w:w="3041" w:type="dxa"/>
          </w:tcPr>
          <w:p w14:paraId="3BA5146E" w14:textId="77777777"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Battery price (SEK/kWh): 4000</w:t>
            </w:r>
          </w:p>
          <w:p w14:paraId="470D9CCC" w14:textId="77777777"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Energy cost (SEK/kWh): 0,82</w:t>
            </w:r>
          </w:p>
          <w:p w14:paraId="704519F8" w14:textId="77777777"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Maintenance (incl. chargers, SEK/Km): 3,3</w:t>
            </w:r>
          </w:p>
          <w:p w14:paraId="26023376" w14:textId="5F929135"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fldChar w:fldCharType="begin"/>
            </w:r>
            <w:r w:rsidR="003821FD">
              <w:rPr>
                <w:rFonts w:cstheme="minorHAnsi"/>
                <w:szCs w:val="22"/>
                <w:lang w:val="en-GB"/>
              </w:rPr>
              <w:instrText xml:space="preserve"> ADDIN ZOTERO_ITEM CSL_CITATION {"citationID":"xQAJqlnM","properties":{"formattedCitation":"(Grauers et al., 2020)","plainCitation":"(Grauers et al., 2020)","noteIndex":0},"citationItems":[{"id":"5S9Opugu/2LKc1eNd","uris":["http://zotero.org/users/7874405/items/9Z3DKDJ4"],"itemData":{"id":9085,"type":"article-journal","abstract":"Without experiences of electric buses, public transport authorities and bus operators have faced questions about how to implement them in a cost-effective way. Simple cost modelling cannot show how costs for different types of electric buses differ between different routes and timetables. Tools (e.g., HASTUS, PtMS, and optibus) which can analyse such details are complicated, time consuming to use, and provide insufficient insights into the mechanisms that influence the cost. This paper therefore proposes a method for how to calculate total cost of ownership, for different types of electric buses, in a way which can predict how the cost varies based on route and timetable. The method excludes factors which cause minor cost variations in an almost random manor, in order to better show the fundamental mechanisms influencing different costs. The method will help in finding ways to reduce the cost and help to define a few cases which deserve a deep analysis with more complete tools. Testing of the method in a Swedish context showed that the results are in line with other theoretical and practical studies, and how the total cost of ownership can vary depending on the variables.","container-title":"Energies","DOI":"10.3390/en13123262","ISSN":"1996-1073","issue":"12","language":"en","license":"http://creativecommons.org/licenses/by/3.0/","note":"number: 12\npublisher: Multidisciplinary Digital Publishing Institute","page":"3262","source":"www.mdpi.com","title":"Total Cost of Ownership Model and Significant Cost Parameters for the Design of Electric Bus Systems","volume":"13","author":[{"family":"Grauers","given":"Anders"},{"family":"Borén","given":"Sven"},{"family":"Enerbäck","given":"Oscar"}],"issued":{"date-parts":[["2020",1]]}}}],"schema":"https://github.com/citation-style-language/schema/raw/master/csl-citation.json"}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rPr>
              <w:t>(Grauers et al., 2020)</w:t>
            </w:r>
            <w:r w:rsidRPr="007E3AB4">
              <w:rPr>
                <w:rFonts w:cstheme="minorHAnsi"/>
                <w:szCs w:val="22"/>
                <w:lang w:val="en-GB"/>
              </w:rPr>
              <w:fldChar w:fldCharType="end"/>
            </w:r>
            <w:r w:rsidRPr="007E3AB4">
              <w:rPr>
                <w:rFonts w:cstheme="minorHAnsi"/>
                <w:szCs w:val="22"/>
                <w:lang w:val="en-GB"/>
              </w:rPr>
              <w:t xml:space="preserve"> </w:t>
            </w:r>
          </w:p>
        </w:tc>
      </w:tr>
      <w:tr w:rsidR="00000E8C" w:rsidRPr="007E3AB4" w14:paraId="75CC29BE" w14:textId="77777777" w:rsidTr="00E649DA">
        <w:trPr>
          <w:trHeight w:val="260"/>
        </w:trPr>
        <w:tc>
          <w:tcPr>
            <w:tcW w:w="3539" w:type="dxa"/>
          </w:tcPr>
          <w:p w14:paraId="7C94E0B0"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HVO buses adoption</w:t>
            </w:r>
          </w:p>
        </w:tc>
        <w:tc>
          <w:tcPr>
            <w:tcW w:w="4961" w:type="dxa"/>
          </w:tcPr>
          <w:p w14:paraId="767CC1EF" w14:textId="290CFDAC"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37% of diesel buses emissions (consumption-based emissions) </w:t>
            </w:r>
            <w:r w:rsidRPr="007E3AB4">
              <w:rPr>
                <w:rFonts w:cstheme="minorHAnsi"/>
                <w:szCs w:val="22"/>
                <w:lang w:val="en-GB"/>
              </w:rPr>
              <w:fldChar w:fldCharType="begin"/>
            </w:r>
            <w:r w:rsidR="003821FD">
              <w:rPr>
                <w:rFonts w:cstheme="minorHAnsi"/>
                <w:szCs w:val="22"/>
                <w:lang w:val="en-GB"/>
              </w:rPr>
              <w:instrText xml:space="preserve"> ADDIN ZOTERO_ITEM CSL_CITATION {"citationID":"TH0zaZtP","properties":{"formattedCitation":"(Nordel\\uc0\\u246{}f et al., 2019)","plainCitation":"(Nordelöf et al., 2019)","noteIndex":0},"citationItems":[{"id":4644,"uris":["http://zotero.org/groups/2281212/items/HGC3FY5H"],"itemData":{"id":4644,"type":"article-journal","abstract":"This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URL":"https://www.sciencedirect.com/science/article/pii/S1361920919302792","volume":"75","author":[{"family":"Nordelöf","given":"Anders"},{"family":"Romare","given":"Mia"},{"family":"Tivander","given":"Johan"}],"accessed":{"date-parts":[["2021",6,8]]},"issued":{"date-parts":[["2019",10,1]]}}}],"schema":"https://github.com/citation-style-language/schema/raw/master/csl-citation.json"} </w:instrText>
            </w:r>
            <w:r w:rsidRPr="007E3AB4">
              <w:rPr>
                <w:rFonts w:cstheme="minorHAnsi"/>
                <w:szCs w:val="22"/>
                <w:lang w:val="en-GB"/>
              </w:rPr>
              <w:fldChar w:fldCharType="separate"/>
            </w:r>
            <w:r w:rsidR="003821FD" w:rsidRPr="00F955A1">
              <w:rPr>
                <w:rFonts w:ascii="Calibri" w:hAnsi="Calibri" w:cs="Calibri"/>
                <w:lang w:val="en-GB"/>
              </w:rPr>
              <w:t>(Nordelöf et al., 2019)</w:t>
            </w:r>
            <w:r w:rsidRPr="007E3AB4">
              <w:rPr>
                <w:rFonts w:cstheme="minorHAnsi"/>
                <w:szCs w:val="22"/>
                <w:lang w:val="en-GB"/>
              </w:rPr>
              <w:fldChar w:fldCharType="end"/>
            </w:r>
          </w:p>
          <w:p w14:paraId="2B28F3B9" w14:textId="7E8CCF6B" w:rsidR="00000E8C" w:rsidRPr="003821FD" w:rsidRDefault="00000E8C" w:rsidP="00E20E52">
            <w:pPr>
              <w:pStyle w:val="ListParagraph"/>
              <w:numPr>
                <w:ilvl w:val="0"/>
                <w:numId w:val="9"/>
              </w:numPr>
              <w:spacing w:after="0" w:line="360" w:lineRule="auto"/>
              <w:jc w:val="both"/>
              <w:rPr>
                <w:rFonts w:cstheme="minorHAnsi"/>
                <w:szCs w:val="22"/>
                <w:lang w:val="fr-FR"/>
              </w:rPr>
            </w:pPr>
            <w:r w:rsidRPr="003821FD">
              <w:rPr>
                <w:rFonts w:cstheme="minorHAnsi"/>
                <w:szCs w:val="22"/>
                <w:lang w:val="fr-FR"/>
              </w:rPr>
              <w:t xml:space="preserve">30% of diesel buses </w:t>
            </w:r>
            <w:proofErr w:type="spellStart"/>
            <w:r w:rsidRPr="003821FD">
              <w:rPr>
                <w:rFonts w:cstheme="minorHAnsi"/>
                <w:szCs w:val="22"/>
                <w:lang w:val="fr-FR"/>
              </w:rPr>
              <w:t>emissions</w:t>
            </w:r>
            <w:proofErr w:type="spellEnd"/>
            <w:r w:rsidRPr="003821FD">
              <w:rPr>
                <w:rFonts w:cstheme="minorHAnsi"/>
                <w:szCs w:val="22"/>
                <w:lang w:val="fr-FR"/>
              </w:rPr>
              <w:t xml:space="preserve"> (territorial </w:t>
            </w:r>
            <w:proofErr w:type="spellStart"/>
            <w:r w:rsidRPr="003821FD">
              <w:rPr>
                <w:rFonts w:cstheme="minorHAnsi"/>
                <w:szCs w:val="22"/>
                <w:lang w:val="fr-FR"/>
              </w:rPr>
              <w:t>emissions</w:t>
            </w:r>
            <w:proofErr w:type="spellEnd"/>
            <w:r w:rsidRPr="003821FD">
              <w:rPr>
                <w:rFonts w:cstheme="minorHAnsi"/>
                <w:szCs w:val="22"/>
                <w:lang w:val="fr-FR"/>
              </w:rPr>
              <w:t xml:space="preserve">) </w:t>
            </w:r>
            <w:r w:rsidRPr="007E3AB4">
              <w:rPr>
                <w:rFonts w:cstheme="minorHAnsi"/>
                <w:szCs w:val="22"/>
                <w:lang w:val="en-GB"/>
              </w:rPr>
              <w:fldChar w:fldCharType="begin"/>
            </w:r>
            <w:r w:rsidR="003821FD" w:rsidRPr="003821FD">
              <w:rPr>
                <w:rFonts w:cstheme="minorHAnsi"/>
                <w:szCs w:val="22"/>
                <w:lang w:val="fr-FR"/>
              </w:rPr>
              <w:instrText xml:space="preserve"> ADDIN ZOTERO_ITEM CSL_CITATION {"citationID":"xFhSoxUL","properties":{"formattedCitation":"(Nordel\\uc0\\u246{}f et al., 2019)","plainCitation":"(Nordelöf et al., 2019)","noteIndex":0},"citationItems":[{"id":4644,"uris":["http://zotero.org/groups/2281212/items/HGC3FY5H"],"itemData":{"id":4644,"type":"article-journal","abstract":"This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URL":"https://www.sciencedirect.com/science/article/pii/S1361920919302792","volume":"75","author":[{"family":"Nordelöf","given":"Anders"},{"family":"Romare","given":"Mia"},{"family":"Tivander","given":"Johan"}],"accessed":{"date-parts":[["2021",6,8]]},"issued":{"date-parts":[["2019",10,1]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fr-FR"/>
              </w:rPr>
              <w:t>(Nordelöf et al., 2019)</w:t>
            </w:r>
            <w:r w:rsidRPr="007E3AB4">
              <w:rPr>
                <w:rFonts w:cstheme="minorHAnsi"/>
                <w:szCs w:val="22"/>
                <w:lang w:val="en-GB"/>
              </w:rPr>
              <w:fldChar w:fldCharType="end"/>
            </w:r>
          </w:p>
        </w:tc>
        <w:tc>
          <w:tcPr>
            <w:tcW w:w="2694" w:type="dxa"/>
          </w:tcPr>
          <w:p w14:paraId="5D1ACA76" w14:textId="16BE4A66"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r w:rsidRPr="007E3AB4">
              <w:rPr>
                <w:rFonts w:cstheme="minorHAnsi"/>
                <w:szCs w:val="22"/>
                <w:lang w:val="en-GB"/>
              </w:rPr>
              <w:t xml:space="preserve"> (current diesel buses can already be filled with HVO: </w:t>
            </w:r>
            <w:hyperlink r:id="rId43" w:history="1">
              <w:r w:rsidRPr="007E3AB4">
                <w:rPr>
                  <w:rStyle w:val="Hyperlink"/>
                  <w:rFonts w:eastAsiaTheme="minorHAnsi" w:cstheme="minorHAnsi"/>
                  <w:szCs w:val="22"/>
                  <w:lang w:val="en-GB" w:eastAsia="en-US"/>
                </w:rPr>
                <w:t>Volvo</w:t>
              </w:r>
            </w:hyperlink>
            <w:r w:rsidRPr="007E3AB4">
              <w:rPr>
                <w:rFonts w:cstheme="minorHAnsi"/>
                <w:szCs w:val="22"/>
                <w:lang w:val="en-GB"/>
              </w:rPr>
              <w:t xml:space="preserve">, </w:t>
            </w:r>
            <w:r w:rsidRPr="007E3AB4">
              <w:rPr>
                <w:rFonts w:cstheme="minorHAnsi"/>
                <w:szCs w:val="22"/>
                <w:lang w:val="en-GB"/>
              </w:rPr>
              <w:fldChar w:fldCharType="begin"/>
            </w:r>
            <w:r w:rsidR="003821FD">
              <w:rPr>
                <w:rFonts w:cstheme="minorHAnsi"/>
                <w:szCs w:val="22"/>
                <w:lang w:val="en-GB"/>
              </w:rPr>
              <w:instrText xml:space="preserve"> ADDIN ZOTERO_ITEM CSL_CITATION {"citationID":"ZeIvbT3a","properties":{"formattedCitation":"(Dimitriadis et al., 2018)","plainCitation":"(Dimitriadis et al., 2018)","noteIndex":0},"citationItems":[{"id":18851,"uris":["http://zotero.org/groups/2281212/items/5E73P46W"],"itemData":{"id":18851,"type":"article-journal","abstract":"In the coming years, the application of paraffinic biofuels, such as Hydrotreated Vegetable Oils (HVO), in the transportation sector is expected to increase. However, as the composition of HVO is different compared to conventional diesel, the engine optimized for conventional fuel cannot take full advantage of the HVO beneficial properties. Suitable adjustment of a number of engine parameters, if not complete engine re-calibration, will enable the full exploitation of such fuels' potential for lower exhaust emissions and reduced fuel consumption. In the present work, the emission characteristics of HVO fuel in a light-duty Euro 5 diesel engine have been studied, under steady-state operation, as well as during the New European Driving Cycle (NEDC). The study was expanded to the investigation of exhaust emissions under modified Main Injection Timing (MIT) and EGR rate. The NEXBTL fuel, produced by Neste, was considered in the study and was compared with conventional market diesel. Emissions of nitric oxides (NOx), soot, carbon monoxide (CO), carbon dioxide (CO2), and hydrocarbons (HC) were studied. At default MIT and EGR settings the use of HVO resulted in a significant reduction of all regulated emissions. In addition, it was observed that the adjustment of MIT and EGR can enhance the exploitation of HVO potential for emissions reduction, highlighting the differences with the conventional diesel fuel.","container-title":"Frontiers in Mechanical Engineering","ISSN":"2297-3079","source":"Frontiers","title":"Evaluation of a Hydrotreated Vegetable Oil (HVO) and Effects on Emissions of a Passenger Car Diesel Engine","URL":"https://www.frontiersin.org/articles/10.3389/fmech.2018.00007","volume":"4","author":[{"family":"Dimitriadis","given":"Athanasios"},{"family":"Natsios","given":"Ioannis"},{"family":"Dimaratos","given":"Athanasios"},{"family":"Katsaounis","given":"Dimitrios"},{"family":"Samaras","given":"Zissis"},{"family":"Bezergianni","given":"Stella"},{"family":"Lehto","given":"Kalle"}],"accessed":{"date-parts":[["2022",10,25]]},"issued":{"date-parts":[["2018"]]}}}],"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(Dimitriadis et al., 2018)</w:t>
            </w:r>
            <w:r w:rsidRPr="007E3AB4">
              <w:rPr>
                <w:rFonts w:cstheme="minorHAnsi"/>
                <w:szCs w:val="22"/>
                <w:lang w:val="en-GB"/>
              </w:rPr>
              <w:fldChar w:fldCharType="end"/>
            </w:r>
            <w:r w:rsidRPr="007E3AB4">
              <w:rPr>
                <w:rFonts w:cstheme="minorHAnsi"/>
                <w:szCs w:val="22"/>
                <w:lang w:val="en-GB"/>
              </w:rPr>
              <w:t>)</w:t>
            </w:r>
          </w:p>
        </w:tc>
        <w:tc>
          <w:tcPr>
            <w:tcW w:w="3041" w:type="dxa"/>
          </w:tcPr>
          <w:p w14:paraId="67D5EAEE"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Maintenance (SEK/Km): 3</w:t>
            </w:r>
          </w:p>
          <w:p w14:paraId="14A2930A"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Energy cost (SEK/kWh): 3,5</w:t>
            </w:r>
          </w:p>
          <w:p w14:paraId="3BEFB3A9" w14:textId="53738E38"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fldChar w:fldCharType="begin"/>
            </w:r>
            <w:r w:rsidR="003821FD">
              <w:rPr>
                <w:rFonts w:cstheme="minorHAnsi"/>
                <w:szCs w:val="22"/>
                <w:lang w:val="en-GB"/>
              </w:rPr>
              <w:instrText xml:space="preserve"> ADDIN ZOTERO_ITEM CSL_CITATION {"citationID":"j4mvulGM","properties":{"formattedCitation":"(Grauers et al., 2020)","plainCitation":"(Grauers et al., 2020)","noteIndex":0},"citationItems":[{"id":"5S9Opugu/2LKc1eNd","uris":["http://zotero.org/users/7874405/items/9Z3DKDJ4"],"itemData":{"id":9085,"type":"article-journal","abstract":"Without experiences of electric buses, public transport authorities and bus operators have faced questions about how to implement them in a cost-effective way. Simple cost modelling cannot show how costs for different types of electric buses differ between different routes and timetables. Tools (e.g., HASTUS, PtMS, and optibus) which can analyse such details are complicated, time consuming to use, and provide insufficient insights into the mechanisms that influence the cost. This paper therefore proposes a method for how to calculate total cost of ownership, for different types of electric buses, in a way which can predict how the cost varies based on route and timetable. The method excludes factors which cause minor cost variations in an almost random manor, in order to better show the fundamental mechanisms influencing different costs. The method will help in finding ways to reduce the cost and help to define a few cases which deserve a deep analysis with more complete tools. Testing of the method in a Swedish context showed that the results are in line with other theoretical and practical studies, and how the total cost of ownership can vary depending on the variables.","container-title":"Energies","DOI":"10.3390/en13123262","ISSN":"1996-1073","issue":"12","language":"en","license":"http://creativecommons.org/licenses/by/3.0/","note":"number: 12\npublisher: Multidisciplinary Digital Publishing Institute","page":"3262","source":"www.mdpi.com","title":"Total Cost of Ownership Model and Significant Cost Parameters for the Design of Electric Bus Systems","volume":"13","author":[{"family":"Grauers","given":"Anders"},{"family":"Borén","given":"Sven"},{"family":"Enerbäck","given":"Oscar"}],"issued":{"date-parts":[["2020",1]]}}}],"schema":"https://github.com/citation-style-language/schema/raw/master/csl-citation.json"}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rPr>
              <w:t>(Grauers et al., 2020)</w:t>
            </w:r>
            <w:r w:rsidRPr="007E3AB4">
              <w:rPr>
                <w:rFonts w:cstheme="minorHAnsi"/>
                <w:szCs w:val="22"/>
                <w:lang w:val="en-GB"/>
              </w:rPr>
              <w:fldChar w:fldCharType="end"/>
            </w:r>
            <w:r w:rsidRPr="007E3AB4">
              <w:rPr>
                <w:rFonts w:cstheme="minorHAnsi"/>
                <w:szCs w:val="22"/>
                <w:lang w:val="en-GB"/>
              </w:rPr>
              <w:t xml:space="preserve"> </w:t>
            </w:r>
          </w:p>
        </w:tc>
      </w:tr>
      <w:tr w:rsidR="004450F6" w:rsidRPr="007E3AB4" w14:paraId="171A991E" w14:textId="77777777" w:rsidTr="00000E8C">
        <w:trPr>
          <w:trHeight w:val="272"/>
        </w:trPr>
        <w:tc>
          <w:tcPr>
            <w:tcW w:w="3539" w:type="dxa"/>
          </w:tcPr>
          <w:p w14:paraId="5F07DE0F" w14:textId="77777777" w:rsidR="004450F6" w:rsidRPr="007E3AB4" w:rsidRDefault="004450F6" w:rsidP="00E20E52">
            <w:pPr>
              <w:spacing w:after="0" w:line="360" w:lineRule="auto"/>
              <w:contextualSpacing/>
              <w:jc w:val="both"/>
              <w:rPr>
                <w:rFonts w:cstheme="minorHAnsi"/>
                <w:szCs w:val="22"/>
                <w:lang w:val="en-GB"/>
              </w:rPr>
            </w:pPr>
          </w:p>
        </w:tc>
        <w:tc>
          <w:tcPr>
            <w:tcW w:w="4961" w:type="dxa"/>
          </w:tcPr>
          <w:p w14:paraId="4BDED16C" w14:textId="77777777" w:rsidR="004450F6" w:rsidRPr="007E3AB4" w:rsidRDefault="004450F6" w:rsidP="00E20E52">
            <w:pPr>
              <w:pStyle w:val="ListParagraph"/>
              <w:numPr>
                <w:ilvl w:val="0"/>
                <w:numId w:val="9"/>
              </w:numPr>
              <w:spacing w:after="0" w:line="360" w:lineRule="auto"/>
              <w:jc w:val="both"/>
              <w:rPr>
                <w:rFonts w:cstheme="minorHAnsi"/>
                <w:szCs w:val="22"/>
                <w:lang w:val="en-GB"/>
              </w:rPr>
            </w:pPr>
          </w:p>
        </w:tc>
        <w:tc>
          <w:tcPr>
            <w:tcW w:w="2694" w:type="dxa"/>
          </w:tcPr>
          <w:p w14:paraId="3E14EC42" w14:textId="77777777" w:rsidR="004450F6" w:rsidRPr="007E3AB4" w:rsidRDefault="004450F6" w:rsidP="00E20E52">
            <w:pPr>
              <w:spacing w:after="0" w:line="360" w:lineRule="auto"/>
              <w:contextualSpacing/>
              <w:jc w:val="both"/>
              <w:rPr>
                <w:rFonts w:cstheme="minorHAnsi"/>
                <w:szCs w:val="22"/>
                <w:lang w:val="en-GB"/>
              </w:rPr>
            </w:pPr>
          </w:p>
        </w:tc>
        <w:tc>
          <w:tcPr>
            <w:tcW w:w="3041" w:type="dxa"/>
          </w:tcPr>
          <w:p w14:paraId="43B87984" w14:textId="77777777" w:rsidR="004450F6" w:rsidRPr="007E3AB4" w:rsidRDefault="004450F6" w:rsidP="00E20E52">
            <w:pPr>
              <w:pStyle w:val="ListParagraph"/>
              <w:numPr>
                <w:ilvl w:val="0"/>
                <w:numId w:val="9"/>
              </w:numPr>
              <w:spacing w:after="0" w:line="360" w:lineRule="auto"/>
              <w:jc w:val="both"/>
              <w:rPr>
                <w:rFonts w:cstheme="minorHAnsi"/>
                <w:szCs w:val="22"/>
                <w:lang w:val="en-GB"/>
              </w:rPr>
            </w:pPr>
          </w:p>
        </w:tc>
      </w:tr>
      <w:tr w:rsidR="00000E8C" w:rsidRPr="007E3AB4" w14:paraId="73AE5B66" w14:textId="77777777" w:rsidTr="00000E8C">
        <w:trPr>
          <w:trHeight w:val="272"/>
        </w:trPr>
        <w:tc>
          <w:tcPr>
            <w:tcW w:w="3539" w:type="dxa"/>
          </w:tcPr>
          <w:p w14:paraId="47938F70"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Hybrid HVO buses</w:t>
            </w:r>
          </w:p>
        </w:tc>
        <w:tc>
          <w:tcPr>
            <w:tcW w:w="4961" w:type="dxa"/>
          </w:tcPr>
          <w:p w14:paraId="02F2A27E" w14:textId="47863376"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28% of diesel buses emissions (consumption-based emissions) </w:t>
            </w:r>
            <w:r w:rsidRPr="007E3AB4">
              <w:rPr>
                <w:rFonts w:cstheme="minorHAnsi"/>
                <w:szCs w:val="22"/>
                <w:lang w:val="en-GB"/>
              </w:rPr>
              <w:fldChar w:fldCharType="begin"/>
            </w:r>
            <w:r w:rsidR="003821FD">
              <w:rPr>
                <w:rFonts w:cstheme="minorHAnsi"/>
                <w:szCs w:val="22"/>
                <w:lang w:val="en-GB"/>
              </w:rPr>
              <w:instrText xml:space="preserve"> ADDIN ZOTERO_ITEM CSL_CITATION {"citationID":"g7VkaDqF","properties":{"formattedCitation":"(Nordel\\uc0\\u246{}f et al., 2019)","plainCitation":"(Nordelöf et al., 2019)","noteIndex":0},"citationItems":[{"id":4644,"uris":["http://zotero.org/groups/2281212/items/HGC3FY5H"],"itemData":{"id":4644,"type":"article-journal","abstract":"This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URL":"https://www.sciencedirect.com/science/article/pii/S1361920919302792","volume":"75","author":[{"family":"Nordelöf","given":"Anders"},{"family":"Romare","given":"Mia"},{"family":"Tivander","given":"Johan"}],"accessed":{"date-parts":[["2021",6,8]]},"issued":{"date-parts":[["2019",10,1]]}}}],"schema":"https://github.com/citation-style-language/schema/raw/master/csl-citation.json"} </w:instrText>
            </w:r>
            <w:r w:rsidRPr="007E3AB4">
              <w:rPr>
                <w:rFonts w:cstheme="minorHAnsi"/>
                <w:szCs w:val="22"/>
                <w:lang w:val="en-GB"/>
              </w:rPr>
              <w:fldChar w:fldCharType="separate"/>
            </w:r>
            <w:r w:rsidR="003821FD" w:rsidRPr="00F955A1">
              <w:rPr>
                <w:rFonts w:ascii="Calibri" w:hAnsi="Calibri" w:cs="Calibri"/>
                <w:lang w:val="en-GB"/>
              </w:rPr>
              <w:t>(Nordelöf et al., 2019)</w:t>
            </w:r>
            <w:r w:rsidRPr="007E3AB4">
              <w:rPr>
                <w:rFonts w:cstheme="minorHAnsi"/>
                <w:szCs w:val="22"/>
                <w:lang w:val="en-GB"/>
              </w:rPr>
              <w:fldChar w:fldCharType="end"/>
            </w:r>
          </w:p>
          <w:p w14:paraId="31507758" w14:textId="190E46FD" w:rsidR="00000E8C" w:rsidRPr="003821FD" w:rsidRDefault="00000E8C" w:rsidP="00E20E52">
            <w:pPr>
              <w:pStyle w:val="ListParagraph"/>
              <w:numPr>
                <w:ilvl w:val="0"/>
                <w:numId w:val="9"/>
              </w:numPr>
              <w:spacing w:after="0" w:line="360" w:lineRule="auto"/>
              <w:jc w:val="both"/>
              <w:rPr>
                <w:rFonts w:cstheme="minorHAnsi"/>
                <w:szCs w:val="22"/>
                <w:lang w:val="fr-FR"/>
              </w:rPr>
            </w:pPr>
            <w:r w:rsidRPr="003821FD">
              <w:rPr>
                <w:rFonts w:cstheme="minorHAnsi"/>
                <w:szCs w:val="22"/>
                <w:lang w:val="fr-FR"/>
              </w:rPr>
              <w:t xml:space="preserve">16% of diesel buses </w:t>
            </w:r>
            <w:proofErr w:type="spellStart"/>
            <w:r w:rsidRPr="003821FD">
              <w:rPr>
                <w:rFonts w:cstheme="minorHAnsi"/>
                <w:szCs w:val="22"/>
                <w:lang w:val="fr-FR"/>
              </w:rPr>
              <w:t>emissions</w:t>
            </w:r>
            <w:proofErr w:type="spellEnd"/>
            <w:r w:rsidRPr="003821FD">
              <w:rPr>
                <w:rFonts w:cstheme="minorHAnsi"/>
                <w:szCs w:val="22"/>
                <w:lang w:val="fr-FR"/>
              </w:rPr>
              <w:t xml:space="preserve"> (territorial </w:t>
            </w:r>
            <w:proofErr w:type="spellStart"/>
            <w:r w:rsidRPr="003821FD">
              <w:rPr>
                <w:rFonts w:cstheme="minorHAnsi"/>
                <w:szCs w:val="22"/>
                <w:lang w:val="fr-FR"/>
              </w:rPr>
              <w:t>emissions</w:t>
            </w:r>
            <w:proofErr w:type="spellEnd"/>
            <w:r w:rsidRPr="003821FD">
              <w:rPr>
                <w:rFonts w:cstheme="minorHAnsi"/>
                <w:szCs w:val="22"/>
                <w:lang w:val="fr-FR"/>
              </w:rPr>
              <w:t xml:space="preserve">) </w:t>
            </w:r>
            <w:r w:rsidRPr="007E3AB4">
              <w:rPr>
                <w:rFonts w:cstheme="minorHAnsi"/>
                <w:szCs w:val="22"/>
                <w:lang w:val="en-GB"/>
              </w:rPr>
              <w:fldChar w:fldCharType="begin"/>
            </w:r>
            <w:r w:rsidR="003821FD" w:rsidRPr="003821FD">
              <w:rPr>
                <w:rFonts w:cstheme="minorHAnsi"/>
                <w:szCs w:val="22"/>
                <w:lang w:val="fr-FR"/>
              </w:rPr>
              <w:instrText xml:space="preserve"> ADDIN ZOTERO_ITEM CSL_CITATION {"citationID":"G2pWTvCS","properties":{"formattedCitation":"(Nordel\\uc0\\u246{}f et al., 2019)","plainCitation":"(Nordelöf et al., 2019)","noteIndex":0},"citationItems":[{"id":4644,"uris":["http://zotero.org/groups/2281212/items/HGC3FY5H"],"itemData":{"id":4644,"type":"article-journal","abstract":"This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URL":"https://www.sciencedirect.com/science/article/pii/S1361920919302792","volume":"75","author":[{"family":"Nordelöf","given":"Anders"},{"family":"Romare","given":"Mia"},{"family":"Tivander","given":"Johan"}],"accessed":{"date-parts":[["2021",6,8]]},"issued":{"date-parts":[["2019",10,1]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fr-FR"/>
              </w:rPr>
              <w:t>(Nordelöf et al., 2019)</w:t>
            </w:r>
            <w:r w:rsidRPr="007E3AB4">
              <w:rPr>
                <w:rFonts w:cstheme="minorHAnsi"/>
                <w:szCs w:val="22"/>
                <w:lang w:val="en-GB"/>
              </w:rPr>
              <w:fldChar w:fldCharType="end"/>
            </w:r>
          </w:p>
        </w:tc>
        <w:tc>
          <w:tcPr>
            <w:tcW w:w="2694" w:type="dxa"/>
          </w:tcPr>
          <w:p w14:paraId="76FF2DF4" w14:textId="1B88A0E6"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2 614 437 </w:t>
            </w:r>
            <w:r w:rsidRPr="007E3AB4">
              <w:rPr>
                <w:rFonts w:cstheme="minorHAnsi"/>
                <w:szCs w:val="22"/>
                <w:lang w:val="en-GB"/>
              </w:rPr>
              <w:fldChar w:fldCharType="begin"/>
            </w:r>
            <w:r w:rsidR="003821FD">
              <w:rPr>
                <w:rFonts w:cstheme="minorHAnsi"/>
                <w:szCs w:val="22"/>
                <w:lang w:val="en-GB"/>
              </w:rPr>
              <w:instrText xml:space="preserve"> ADDIN ZOTERO_ITEM CSL_CITATION {"citationID":"0NftfSCn","properties":{"formattedCitation":"(Lajunen and Lipman, 2016)","plainCitation":"(Lajunen and Lipman, 2016)","noteIndex":0},"citationItems":[{"id":17446,"uris":["http://zotero.org/groups/4571029/items/NEX64EC5"],"itemData":{"id":17446,"type":"article-journal","abstract":"This paper evaluates the lifecycle costs and carbon dioxide emissions of different types of city buses. The simulation models of the different powertrains were developed in the Autonomie vehicle simulation software. The carbon dioxide emissions were calculated both for the bus operation and for the fuel and energy pathways from well to tank. Two different operating environment case scenarios were used for the primary energy sources, which were Finland and California (USA). The fuel and energy pathways were selected appropriately in relation to the operating environment. The lifecycle costs take into account the purchase, operating, maintenance, and possible carbon emission costs. Based on the simulation results, the energy efficiency of city buses can be significantly improved by the alternative powertrain technologies. Hybrid buses have moderately lower carbon dioxide emissions during the service life than diesel buses whereas fully-electric buses have potential to significantly reduce carbon dioxide emissions, by up to 75%. The lifecycle cost analysis indicates that diesel hybrid buses are already competitive with diesel and natural gas buses. The high costs of fuel cell and battery systems are the major challenges for the fuel cell hybrid buses in order to reduce lifecycle costs to more competitive levels.","container-title":"Energy","DOI":"10.1016/j.energy.2016.03.075","ISSN":"0360-5442","journalAbbreviation":"Energy","language":"en","page":"329-342","source":"ScienceDirect","title":"Lifecycle cost assessment and carbon dioxide emissions of diesel, natural gas, hybrid electric, fuel cell hybrid and electric transit buses","URL":"https://www.sciencedirect.com/science/article/pii/S036054421630319X","volume":"106","author":[{"family":"Lajunen","given":"Antti"},{"family":"Lipman","given":"Timothy"}],"accessed":{"date-parts":[["2022",5,10]]},"issued":{"date-parts":[["2016",7,1]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rPr>
              <w:t>(Lajunen and Lipman, 2016)</w:t>
            </w:r>
            <w:r w:rsidRPr="007E3AB4">
              <w:rPr>
                <w:rFonts w:cstheme="minorHAnsi"/>
                <w:szCs w:val="22"/>
                <w:lang w:val="en-GB"/>
              </w:rPr>
              <w:fldChar w:fldCharType="end"/>
            </w:r>
          </w:p>
        </w:tc>
        <w:tc>
          <w:tcPr>
            <w:tcW w:w="3041" w:type="dxa"/>
          </w:tcPr>
          <w:p w14:paraId="3692E952" w14:textId="77777777"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Maintenance (SEK/km): 3</w:t>
            </w:r>
          </w:p>
          <w:p w14:paraId="3D0DB60C" w14:textId="77777777"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Energy cost (SEK/kWh): 3.5</w:t>
            </w:r>
          </w:p>
          <w:p w14:paraId="520DBA3B" w14:textId="2CF47425"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fldChar w:fldCharType="begin"/>
            </w:r>
            <w:r w:rsidR="003821FD">
              <w:rPr>
                <w:rFonts w:cstheme="minorHAnsi"/>
                <w:szCs w:val="22"/>
                <w:lang w:val="en-GB"/>
              </w:rPr>
              <w:instrText xml:space="preserve"> ADDIN ZOTERO_ITEM CSL_CITATION {"citationID":"z7OimWFq","properties":{"formattedCitation":"(Grauers et al., 2020)","plainCitation":"(Grauers et al., 2020)","noteIndex":0},"citationItems":[{"id":"5S9Opugu/2LKc1eNd","uris":["http://zotero.org/users/7874405/items/9Z3DKDJ4"],"itemData":{"id":9085,"type":"article-journal","abstract":"Without experiences of electric buses, public transport authorities and bus operators have faced questions about how to implement them in a cost-effective way. Simple cost modelling cannot show how costs for different types of electric buses differ between different routes and timetables. Tools (e.g., HASTUS, PtMS, and optibus) which can analyse such details are complicated, time consuming to use, and provide insufficient insights into the mechanisms that influence the cost. This paper therefore proposes a method for how to calculate total cost of ownership, for different types of electric buses, in a way which can predict how the cost varies based on route and timetable. The method excludes factors which cause minor cost variations in an almost random manor, in order to better show the fundamental mechanisms influencing different costs. The method will help in finding ways to reduce the cost and help to define a few cases which deserve a deep analysis with more complete tools. Testing of the method in a Swedish context showed that the results are in line with other theoretical and practical studies, and how the total cost of ownership can vary depending on the variables.","container-title":"Energies","DOI":"10.3390/en13123262","ISSN":"1996-1073","issue":"12","language":"en","license":"http://creativecommons.org/licenses/by/3.0/","note":"number: 12\npublisher: Multidisciplinary Digital Publishing Institute","page":"3262","source":"www.mdpi.com","title":"Total Cost of Ownership Model and Significant Cost Parameters for the Design of Electric Bus Systems","volume":"13","author":[{"family":"Grauers","given":"Anders"},{"family":"Borén","given":"Sven"},{"family":"Enerbäck","given":"Oscar"}],"issued":{"date-parts":[["2020",1]]}}}],"schema":"https://github.com/citation-style-language/schema/raw/master/csl-citation.json"}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rPr>
              <w:t>(Grauers et al., 2020)</w:t>
            </w:r>
            <w:r w:rsidRPr="007E3AB4">
              <w:rPr>
                <w:rFonts w:cstheme="minorHAnsi"/>
                <w:szCs w:val="22"/>
                <w:lang w:val="en-GB"/>
              </w:rPr>
              <w:fldChar w:fldCharType="end"/>
            </w:r>
          </w:p>
        </w:tc>
      </w:tr>
      <w:tr w:rsidR="00000E8C" w:rsidRPr="007E3AB4" w14:paraId="02BE44FC" w14:textId="77777777" w:rsidTr="00000E8C">
        <w:trPr>
          <w:trHeight w:val="260"/>
        </w:trPr>
        <w:tc>
          <w:tcPr>
            <w:tcW w:w="3539" w:type="dxa"/>
          </w:tcPr>
          <w:p w14:paraId="02F53C76"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Reduction in air transport</w:t>
            </w:r>
          </w:p>
        </w:tc>
        <w:tc>
          <w:tcPr>
            <w:tcW w:w="4961" w:type="dxa"/>
          </w:tcPr>
          <w:p w14:paraId="151D3DA2"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X% reduction in air transport will lead to X% reduction in emissions from this sector (our own assumption)</w:t>
            </w:r>
          </w:p>
        </w:tc>
        <w:tc>
          <w:tcPr>
            <w:tcW w:w="2694" w:type="dxa"/>
          </w:tcPr>
          <w:p w14:paraId="1DD21D43"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20B960AB"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7E3AB4" w14:paraId="5B71B460" w14:textId="77777777" w:rsidTr="00000E8C">
        <w:trPr>
          <w:trHeight w:val="260"/>
        </w:trPr>
        <w:tc>
          <w:tcPr>
            <w:tcW w:w="3539" w:type="dxa"/>
          </w:tcPr>
          <w:p w14:paraId="58692840"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Doubling the life of recreation equipment</w:t>
            </w:r>
          </w:p>
        </w:tc>
        <w:tc>
          <w:tcPr>
            <w:tcW w:w="4961" w:type="dxa"/>
          </w:tcPr>
          <w:p w14:paraId="5539FBA3"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50% emissions reduction (our own assumption)</w:t>
            </w:r>
          </w:p>
        </w:tc>
        <w:tc>
          <w:tcPr>
            <w:tcW w:w="2694" w:type="dxa"/>
          </w:tcPr>
          <w:p w14:paraId="2C778BA2"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0134A384"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7E3AB4" w14:paraId="0C69A770" w14:textId="77777777" w:rsidTr="00000E8C">
        <w:trPr>
          <w:trHeight w:val="260"/>
        </w:trPr>
        <w:tc>
          <w:tcPr>
            <w:tcW w:w="3539" w:type="dxa"/>
          </w:tcPr>
          <w:p w14:paraId="3421B446"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Quit package holidays</w:t>
            </w:r>
          </w:p>
        </w:tc>
        <w:tc>
          <w:tcPr>
            <w:tcW w:w="4961" w:type="dxa"/>
          </w:tcPr>
          <w:p w14:paraId="0C0DA7DE"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100% emissions reduction from this activity (our own assumption)</w:t>
            </w:r>
          </w:p>
        </w:tc>
        <w:tc>
          <w:tcPr>
            <w:tcW w:w="2694" w:type="dxa"/>
          </w:tcPr>
          <w:p w14:paraId="02ED993D"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701C655E"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7E3AB4" w14:paraId="5B928B76" w14:textId="77777777" w:rsidTr="00000E8C">
        <w:trPr>
          <w:trHeight w:val="260"/>
        </w:trPr>
        <w:tc>
          <w:tcPr>
            <w:tcW w:w="3539" w:type="dxa"/>
          </w:tcPr>
          <w:p w14:paraId="4C492776"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Reduction of food waste from restaurants and catering services</w:t>
            </w:r>
          </w:p>
        </w:tc>
        <w:tc>
          <w:tcPr>
            <w:tcW w:w="4961" w:type="dxa"/>
          </w:tcPr>
          <w:p w14:paraId="2D7BC76A" w14:textId="1CD76840"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33% emissions reduction </w:t>
            </w:r>
            <w:r w:rsidRPr="007E3AB4">
              <w:rPr>
                <w:rFonts w:cstheme="minorHAnsi"/>
                <w:szCs w:val="22"/>
                <w:lang w:val="en-GB"/>
              </w:rPr>
              <w:fldChar w:fldCharType="begin"/>
            </w:r>
            <w:r w:rsidR="003821FD">
              <w:rPr>
                <w:rFonts w:cstheme="minorHAnsi"/>
                <w:szCs w:val="22"/>
                <w:lang w:val="en-GB"/>
              </w:rPr>
              <w:instrText xml:space="preserve"> ADDIN ZOTERO_ITEM CSL_CITATION {"citationID":"QByEtSHJ","properties":{"formattedCitation":"(Eriksson et al., 2017)","plainCitation":"(Eriksson et al., 2017)","noteIndex":0},"citationItems":[{"id":4625,"uris":["http://zotero.org/groups/2281212/items/SPP74KKI"],"itemData":{"id":4625,"type":"article-journal","abstract":"Food waste is a major problem that must be reduced in order to achieve a sustainable food supply chain. Since food waste valorisation measures, like energy recovery, have limited possibilities to fully recover the resources invested in food production, there is a need to prevent food waste. Prevention is most important at the end of the value chain, where the largest number of sub-processes have already taken place and occur in vain if the food is not used for its intended purpose, i.e. consumption. Catering facilities and households are at the very end of the food supply chain, and in Sweden the public catering sector serves a large number of meals through municipal organisations, including schools, preschools and elderly care homes. Since the first step in waste reduction is to establish a baseline measurement in order to identify problems, this study sought to quantify food waste in schools, preschools and elderly care homes in one municipality in Sweden. The quantification was conducted during three months, spread out over three semesters, and was performed in all 30 public kitchen units in the municipality of Sala. The kitchen staff used kitchen scales to quantify the mass of wasted and served food divided into serving waste (with sub-categories), plate waste and other food waste. The food waste level was quantified as 75g of food waste per portion served, or 23% of the mass of food served. However, there was great variation between kitchens, with the waste level ranging from 33g waste per portion served (13%) to 131g waste per portion served (34%). Wasted food consisted of 64% serving waste, 33% plate waste and 3% other food waste. Preschools had a lower waste level than schools, possibly due to preschool carers eating together with the children. Kitchens that received warm food prepared in another kitchen (satellite kitchens) had a 42% higher waste level than kitchens preparing all food themselves (production units), possibly due to the latter having higher flexibility in cooking the right amount of food and being able to chill and save surplus food. The large variation between kitchens indicates that they have different causes of food waste, but also different opportunities to reduce it. Detailed waste quantification for each kitchen can therefore be the first step in the process of waste reduction.","container-title":"Waste Management","DOI":"10.1016/j.wasman.2017.01.035","ISSN":"0956-053X","journalAbbreviation":"Waste Management","language":"en","page":"415-422","source":"ScienceDirect","title":"Quantification of food waste in public catering services – A case study from a Swedish municipality","URL":"https://www.sciencedirect.com/science/article/pii/S0956053X17300351","volume":"61","author":[{"family":"Eriksson","given":"Mattias"},{"family":"Persson Osowski","given":"Christine"},{"family":"Malefors","given":"Christopher"},{"family":"Björkman","given":"Jesper"},{"family":"Eriksson","given":"Emelie"}],"accessed":{"date-parts":[["2021",7,2]]},"issued":{"date-parts":[["2017",3,1]]}}}],"schema":"https://github.com/citation-style-language/schema/raw/master/csl-citation.json"} </w:instrText>
            </w:r>
            <w:r w:rsidRPr="007E3AB4">
              <w:rPr>
                <w:rFonts w:cstheme="minorHAnsi"/>
                <w:szCs w:val="22"/>
                <w:lang w:val="en-GB"/>
              </w:rPr>
              <w:fldChar w:fldCharType="separate"/>
            </w:r>
            <w:r w:rsidR="003821FD" w:rsidRPr="00AF027E">
              <w:rPr>
                <w:rFonts w:ascii="Calibri" w:hAnsi="Calibri" w:cs="Calibri"/>
                <w:lang w:val="en-GB"/>
              </w:rPr>
              <w:t>(Eriksson et al., 2017)</w:t>
            </w:r>
            <w:r w:rsidRPr="007E3AB4">
              <w:rPr>
                <w:rFonts w:cstheme="minorHAnsi"/>
                <w:szCs w:val="22"/>
                <w:lang w:val="en-GB"/>
              </w:rPr>
              <w:fldChar w:fldCharType="end"/>
            </w:r>
          </w:p>
        </w:tc>
        <w:tc>
          <w:tcPr>
            <w:tcW w:w="2694" w:type="dxa"/>
          </w:tcPr>
          <w:p w14:paraId="009DF66B"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4703103B"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E9590B" w14:paraId="5B941752" w14:textId="77777777" w:rsidTr="00000E8C">
        <w:trPr>
          <w:trHeight w:val="260"/>
        </w:trPr>
        <w:tc>
          <w:tcPr>
            <w:tcW w:w="3539" w:type="dxa"/>
          </w:tcPr>
          <w:p w14:paraId="1FFD25FB"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Electrification of private cars</w:t>
            </w:r>
          </w:p>
        </w:tc>
        <w:tc>
          <w:tcPr>
            <w:tcW w:w="4961" w:type="dxa"/>
          </w:tcPr>
          <w:p w14:paraId="4DA6C82D" w14:textId="051A5CBC"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35% of diesel car emissions and 25% of gasoline cars emissions (consumption – based emissions) </w:t>
            </w:r>
            <w:r w:rsidRPr="007E3AB4">
              <w:rPr>
                <w:rFonts w:cstheme="minorHAnsi"/>
                <w:szCs w:val="22"/>
                <w:lang w:val="en-GB"/>
              </w:rPr>
              <w:fldChar w:fldCharType="begin"/>
            </w:r>
            <w:r w:rsidR="003821FD">
              <w:rPr>
                <w:rFonts w:cstheme="minorHAnsi"/>
                <w:szCs w:val="22"/>
                <w:lang w:val="en-GB"/>
              </w:rPr>
              <w:instrText xml:space="preserve"> ADDIN ZOTERO_ITEM CSL_CITATION {"citationID":"4TaOrXIh","properties":{"formattedCitation":"(Energiforsk, 2021)","plainCitation":"(Energiforsk, 2021)","noteIndex":0},"citationItems":[{"id":18850,"uris":["http://zotero.org/groups/2281212/items/HZUWVW6B"],"itemData":{"id":18850,"type":"document","title":"Climate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003821FD" w:rsidRPr="00F955A1">
              <w:rPr>
                <w:rFonts w:ascii="Calibri" w:hAnsi="Calibri" w:cs="Calibri"/>
                <w:lang w:val="en-GB"/>
              </w:rPr>
              <w:t>(Energiforsk, 2021)</w:t>
            </w:r>
            <w:r w:rsidRPr="007E3AB4">
              <w:rPr>
                <w:rFonts w:cstheme="minorHAnsi"/>
                <w:szCs w:val="22"/>
                <w:lang w:val="en-GB"/>
              </w:rPr>
              <w:fldChar w:fldCharType="end"/>
            </w:r>
          </w:p>
          <w:p w14:paraId="125A56D1" w14:textId="15EB35C5"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2.7% of diesel car emissions and 1.9% of gasoline cars emissions (territorial emissions) </w:t>
            </w:r>
            <w:r w:rsidRPr="007E3AB4">
              <w:rPr>
                <w:rFonts w:cstheme="minorHAnsi"/>
                <w:szCs w:val="22"/>
                <w:lang w:val="en-GB"/>
              </w:rPr>
              <w:fldChar w:fldCharType="begin"/>
            </w:r>
            <w:r w:rsidR="003821FD">
              <w:rPr>
                <w:rFonts w:cstheme="minorHAnsi"/>
                <w:szCs w:val="22"/>
                <w:lang w:val="en-GB"/>
              </w:rPr>
              <w:instrText xml:space="preserve"> ADDIN ZOTERO_ITEM CSL_CITATION {"citationID":"CeF4iCAt","properties":{"formattedCitation":"(Energiforsk, 2021)","plainCitation":"(Energiforsk, 2021)","noteIndex":0},"citationItems":[{"id":18850,"uris":["http://zotero.org/groups/2281212/items/HZUWVW6B"],"itemData":{"id":18850,"type":"document","title":"Climate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(Energiforsk, 2021)</w:t>
            </w:r>
            <w:r w:rsidRPr="007E3AB4">
              <w:rPr>
                <w:rFonts w:cstheme="minorHAnsi"/>
                <w:szCs w:val="22"/>
                <w:lang w:val="en-GB"/>
              </w:rPr>
              <w:fldChar w:fldCharType="end"/>
            </w:r>
          </w:p>
        </w:tc>
        <w:tc>
          <w:tcPr>
            <w:tcW w:w="2694" w:type="dxa"/>
          </w:tcPr>
          <w:p w14:paraId="2EC15C0E" w14:textId="2DB16FD1" w:rsidR="00000E8C" w:rsidRPr="007E3AB4" w:rsidRDefault="00000E8C" w:rsidP="00E20E52">
            <w:pPr>
              <w:tabs>
                <w:tab w:val="center" w:pos="1168"/>
              </w:tabs>
              <w:spacing w:after="0" w:line="360" w:lineRule="auto"/>
              <w:contextualSpacing/>
              <w:jc w:val="both"/>
              <w:rPr>
                <w:rFonts w:cstheme="minorHAnsi"/>
                <w:szCs w:val="22"/>
                <w:lang w:val="en-GB"/>
              </w:rPr>
            </w:pPr>
            <w:r w:rsidRPr="007E3AB4">
              <w:rPr>
                <w:rFonts w:cstheme="minorHAnsi"/>
                <w:szCs w:val="22"/>
                <w:lang w:val="en-GB"/>
              </w:rPr>
              <w:t xml:space="preserve">595 720,49 </w:t>
            </w:r>
            <w:r w:rsidRPr="007E3AB4">
              <w:rPr>
                <w:rFonts w:cstheme="minorHAnsi"/>
                <w:szCs w:val="22"/>
                <w:lang w:val="en-GB"/>
              </w:rPr>
              <w:fldChar w:fldCharType="begin"/>
            </w:r>
            <w:r w:rsidR="003821FD">
              <w:rPr>
                <w:rFonts w:cstheme="minorHAnsi"/>
                <w:szCs w:val="22"/>
                <w:lang w:val="en-GB"/>
              </w:rPr>
              <w:instrText xml:space="preserve"> ADDIN ZOTERO_ITEM CSL_CITATION {"citationID":"8Q90Z2YI","properties":{"formattedCitation":"(Weiss et al., 2020)","plainCitation":"(Weiss et al., 2020)","noteIndex":0},"citationItems":[{"id":3545,"uris":["http://zotero.org/groups/2281212/items/HJAJXH56"],"itemData":{"id":3545,"type":"article-journal","abstract":"As electric kick scooters, three-wheelers, and passenger cars enter the streets, efficiency trade-offs across vehicle types gain practical relevance for consumers and policy makers. Here, we compile a comprehensive dataset of 428 electric vehicles, including seven vehicle types and information on certified and real-world energy consumption. Regression analysis is applied to quantify trade-offs between energy consumption and other vehicle attributes.","container-title":"Environmental Sciences Europe","DOI":"10.1186/s12302-020-00307-8","ISSN":"2190-4715","issue":"1","journalAbbreviation":"Environmental Sciences Europe","page":"46","source":"BioMed Central","title":"Energy efficiency trade-offs in small to large electric vehicles","URL":"https://doi.org/10.1186/s12302-020-00307-8","volume":"32","author":[{"family":"Weiss","given":"Martin"},{"family":"Cloos","given":"Kira Christina"},{"family":"Helmers","given":"Eckard"}],"accessed":{"date-parts":[["2021",4,20]]},"issued":{"date-parts":[["2020",3,18]]}}}],"schema":"https://github.com/citation-style-language/schema/raw/master/csl-citation.json"}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rPr>
              <w:t>(Weiss et al., 2020)</w:t>
            </w:r>
            <w:r w:rsidRPr="007E3AB4">
              <w:rPr>
                <w:rFonts w:cstheme="minorHAnsi"/>
                <w:szCs w:val="22"/>
                <w:lang w:val="en-GB"/>
              </w:rPr>
              <w:fldChar w:fldCharType="end"/>
            </w:r>
          </w:p>
        </w:tc>
        <w:tc>
          <w:tcPr>
            <w:tcW w:w="3041" w:type="dxa"/>
          </w:tcPr>
          <w:p w14:paraId="4AF54D8B" w14:textId="59CA5B7E"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Cost of battery (SEK/</w:t>
            </w:r>
            <w:proofErr w:type="spellStart"/>
            <w:r w:rsidRPr="007E3AB4">
              <w:rPr>
                <w:rFonts w:cstheme="minorHAnsi"/>
                <w:szCs w:val="22"/>
                <w:lang w:val="en-GB"/>
              </w:rPr>
              <w:t>KWh</w:t>
            </w:r>
            <w:proofErr w:type="spellEnd"/>
            <w:r w:rsidRPr="007E3AB4">
              <w:rPr>
                <w:rFonts w:cstheme="minorHAnsi"/>
                <w:szCs w:val="22"/>
                <w:lang w:val="en-GB"/>
              </w:rPr>
              <w:t xml:space="preserve">): 1659,96 </w:t>
            </w:r>
            <w:r w:rsidRPr="007E3AB4">
              <w:rPr>
                <w:rFonts w:cstheme="minorHAnsi"/>
                <w:szCs w:val="22"/>
                <w:lang w:val="en-GB"/>
              </w:rPr>
              <w:fldChar w:fldCharType="begin"/>
            </w:r>
            <w:r w:rsidR="003821FD">
              <w:rPr>
                <w:rFonts w:cstheme="minorHAnsi"/>
                <w:szCs w:val="22"/>
                <w:lang w:val="en-GB"/>
              </w:rPr>
              <w:instrText xml:space="preserve"> ADDIN ZOTERO_ITEM CSL_CITATION {"citationID":"mdTLeCtU","properties":{"formattedCitation":"(Nykvist and Nilsson, 2015)","plainCitation":"(Nykvist and Nilsson, 2015)","noteIndex":0},"citationItems":[{"id":17630,"uris":["http://zotero.org/groups/4571029/items/FAE6NWGW"],"itemData":{"id":17630,"type":"article-journal","container-title":"Nature Climate Change","DOI":"10.1038/nclimate2564","ISSN":"17586798","issue":"4","language":"English","note":"publisher: Nature Publishing Group\n329","page":"329-332","source":"EBSCOhost","title":"Rapidly falling costs of battery packs for electric vehicles","volume":"5","author":[{"family":"Nykvist","given":"B. ( 1 )"},{"family":"Nilsson","given":"M. ( 1","suffix":"2 )"}],"issued":{"date-parts":[["2015"]],"season":"25"}}}],"schema":"https://github.com/citation-style-language/schema/raw/master/csl-citation.json"}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(Nykvist and Nilsson, 2015)</w:t>
            </w:r>
            <w:r w:rsidRPr="007E3AB4">
              <w:rPr>
                <w:rFonts w:cstheme="minorHAnsi"/>
                <w:szCs w:val="22"/>
                <w:lang w:val="en-GB"/>
              </w:rPr>
              <w:fldChar w:fldCharType="end"/>
            </w:r>
          </w:p>
          <w:p w14:paraId="3FAC99C6" w14:textId="3B2B3B52"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Cost of energy (SEK/</w:t>
            </w:r>
            <w:proofErr w:type="spellStart"/>
            <w:r w:rsidRPr="007E3AB4">
              <w:rPr>
                <w:rFonts w:cstheme="minorHAnsi"/>
                <w:szCs w:val="22"/>
                <w:lang w:val="en-GB"/>
              </w:rPr>
              <w:t>KWh</w:t>
            </w:r>
            <w:proofErr w:type="spellEnd"/>
            <w:r w:rsidRPr="007E3AB4">
              <w:rPr>
                <w:rFonts w:cstheme="minorHAnsi"/>
                <w:szCs w:val="22"/>
                <w:lang w:val="en-GB"/>
              </w:rPr>
              <w:t xml:space="preserve">): 0,861586 </w:t>
            </w:r>
            <w:r w:rsidRPr="007E3AB4">
              <w:rPr>
                <w:rFonts w:cstheme="minorHAnsi"/>
                <w:szCs w:val="22"/>
                <w:lang w:val="en-GB"/>
              </w:rPr>
              <w:fldChar w:fldCharType="begin"/>
            </w:r>
            <w:r w:rsidR="003821FD">
              <w:rPr>
                <w:rFonts w:cstheme="minorHAnsi"/>
                <w:szCs w:val="22"/>
                <w:lang w:val="en-GB"/>
              </w:rPr>
              <w:instrText xml:space="preserve"> ADDIN ZOTERO_ITEM CSL_CITATION {"citationID":"P9MBIc0a","properties":{"formattedCitation":"(Hagman et al., 2016)","plainCitation":"(Hagman et al., 2016)","noteIndex":0},"citationItems":[{"id":18849,"uris":["http://zotero.org/groups/2281212/items/NK7LY988"],"itemData":{"id":18849,"type":"article-journal","abstract":"Battery electric vehicles (BEVs) have been slow to diffuse on the international as well as the Swedish market. Previous studies have indicated situational factors such as economic factors, size and performance to be of major importance for vehicle purchasers in their choice of vehicle. In this paper, the authors explore a consumer centric total cost of ownership (TCO) model to investigate the possible discrepancy between purchase price and the TCO between internal combustion engine vehicles (ICEVs), hybrid electric vehicles (HEVs) and BEVs. The creation and testing of the TCO model reveals that computation could be a challenging task for consumers due to bounded access of relevant data and the prediction of future conditions. The application of the model to the vehicle sample found that BEVs could be cheaper compared to ICEVs and HEVs. The findings in this paper could prove to be of importance for policy and marketing alike in designing the most appropriate business models and information campaigns based on consumer conditions in order to further promoting the diffusion of BEVs in society.","collection-title":"Innovations in Technologies for Sustainable Transport","container-title":"Research in Transportation Business &amp; Management","DOI":"10.1016/j.rtbm.2016.01.003","ISSN":"2210-5395","journalAbbreviation":"Research in Transportation Business &amp; Management","language":"en","page":"11-17","source":"ScienceDirect","title":"Total cost of ownership and its potential implications for battery electric vehicle diffusion","URL":"https://www.sciencedirect.com/science/article/pii/S2210539516000043","volume":"18","author":[{"family":"Hagman","given":"Jens"},{"family":"Ritzén","given":"Sofia"},{"family":"Stier","given":"Jenny Janhager"},{"family":"Susilo","given":"Yusak"}],"accessed":{"date-parts":[["2022",10,25]]},"issued":{"date-parts":[["2016",3,1]]}}}],"schema":"https://github.com/citation-style-language/schema/raw/master/csl-citation.json"} </w:instrText>
            </w:r>
            <w:r w:rsidRPr="007E3AB4">
              <w:rPr>
                <w:rFonts w:cstheme="minorHAnsi"/>
                <w:szCs w:val="22"/>
                <w:lang w:val="en-GB"/>
              </w:rPr>
              <w:fldChar w:fldCharType="separate"/>
            </w:r>
            <w:r w:rsidR="003821FD" w:rsidRPr="00F955A1">
              <w:rPr>
                <w:rFonts w:ascii="Calibri" w:hAnsi="Calibri" w:cs="Calibri"/>
                <w:lang w:val="en-GB"/>
              </w:rPr>
              <w:t>(Hagman et al., 2016)</w:t>
            </w:r>
            <w:r w:rsidRPr="007E3AB4">
              <w:rPr>
                <w:rFonts w:cstheme="minorHAnsi"/>
                <w:szCs w:val="22"/>
                <w:lang w:val="en-GB"/>
              </w:rPr>
              <w:fldChar w:fldCharType="end"/>
            </w:r>
          </w:p>
        </w:tc>
      </w:tr>
      <w:tr w:rsidR="00000E8C" w:rsidRPr="00E9590B" w14:paraId="1DA763B1" w14:textId="77777777" w:rsidTr="00000E8C">
        <w:trPr>
          <w:trHeight w:val="260"/>
        </w:trPr>
        <w:tc>
          <w:tcPr>
            <w:tcW w:w="3539" w:type="dxa"/>
          </w:tcPr>
          <w:p w14:paraId="5B4F8F30"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Replacement of private cars by public transport</w:t>
            </w:r>
          </w:p>
        </w:tc>
        <w:tc>
          <w:tcPr>
            <w:tcW w:w="4961" w:type="dxa"/>
          </w:tcPr>
          <w:p w14:paraId="1634FB95"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100% emissions reduction (our won assumption)</w:t>
            </w:r>
          </w:p>
        </w:tc>
        <w:tc>
          <w:tcPr>
            <w:tcW w:w="2694" w:type="dxa"/>
          </w:tcPr>
          <w:p w14:paraId="09A44020"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7D3CB98D"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Annual ticket to regional public transport</w:t>
            </w:r>
          </w:p>
        </w:tc>
      </w:tr>
      <w:tr w:rsidR="00000E8C" w:rsidRPr="00E9590B" w14:paraId="7DAF569B" w14:textId="77777777" w:rsidTr="00000E8C">
        <w:trPr>
          <w:trHeight w:val="260"/>
        </w:trPr>
        <w:tc>
          <w:tcPr>
            <w:tcW w:w="3539" w:type="dxa"/>
          </w:tcPr>
          <w:p w14:paraId="39A82E61"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Adoption of plug-in-hybrid cars</w:t>
            </w:r>
          </w:p>
        </w:tc>
        <w:tc>
          <w:tcPr>
            <w:tcW w:w="4961" w:type="dxa"/>
          </w:tcPr>
          <w:p w14:paraId="0408181B" w14:textId="60D7390C"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55% of diesel car emissions and 42% of gasoline cars emissions (consumption-based emissions) </w:t>
            </w:r>
            <w:r w:rsidRPr="007E3AB4">
              <w:rPr>
                <w:rFonts w:cstheme="minorHAnsi"/>
                <w:szCs w:val="22"/>
                <w:lang w:val="en-GB"/>
              </w:rPr>
              <w:fldChar w:fldCharType="begin"/>
            </w:r>
            <w:r w:rsidR="003821FD">
              <w:rPr>
                <w:rFonts w:cstheme="minorHAnsi"/>
                <w:szCs w:val="22"/>
                <w:lang w:val="en-GB"/>
              </w:rPr>
              <w:instrText xml:space="preserve"> ADDIN ZOTERO_ITEM CSL_CITATION {"citationID":"RYoZdNiH","properties":{"formattedCitation":"(Energiforsk, 2021)","plainCitation":"(Energiforsk, 2021)","noteIndex":0},"citationItems":[{"id":18850,"uris":["http://zotero.org/groups/2281212/items/HZUWVW6B"],"itemData":{"id":18850,"type":"document","title":"Climate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(Energiforsk, 2021)</w:t>
            </w:r>
            <w:r w:rsidRPr="007E3AB4">
              <w:rPr>
                <w:rFonts w:cstheme="minorHAnsi"/>
                <w:szCs w:val="22"/>
                <w:lang w:val="en-GB"/>
              </w:rPr>
              <w:fldChar w:fldCharType="end"/>
            </w:r>
          </w:p>
          <w:p w14:paraId="4591879E" w14:textId="14343B82"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39% of diesel car emissions and 28% of gasoline cars emissions (territorial emissions) </w:t>
            </w:r>
            <w:r w:rsidRPr="007E3AB4">
              <w:rPr>
                <w:rFonts w:cstheme="minorHAnsi"/>
                <w:szCs w:val="22"/>
                <w:lang w:val="en-GB"/>
              </w:rPr>
              <w:fldChar w:fldCharType="begin"/>
            </w:r>
            <w:r w:rsidR="003821FD">
              <w:rPr>
                <w:rFonts w:cstheme="minorHAnsi"/>
                <w:szCs w:val="22"/>
                <w:lang w:val="en-GB"/>
              </w:rPr>
              <w:instrText xml:space="preserve"> ADDIN ZOTERO_ITEM CSL_CITATION {"citationID":"aeYJj9X3","properties":{"formattedCitation":"(Energiforsk, 2021)","plainCitation":"(Energiforsk, 2021)","noteIndex":0},"citationItems":[{"id":18850,"uris":["http://zotero.org/groups/2281212/items/HZUWVW6B"],"itemData":{"id":18850,"type":"document","title":"Climate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(Energiforsk, 2021)</w:t>
            </w:r>
            <w:r w:rsidRPr="007E3AB4">
              <w:rPr>
                <w:rFonts w:cstheme="minorHAnsi"/>
                <w:szCs w:val="22"/>
                <w:lang w:val="en-GB"/>
              </w:rPr>
              <w:fldChar w:fldCharType="end"/>
            </w:r>
          </w:p>
        </w:tc>
        <w:tc>
          <w:tcPr>
            <w:tcW w:w="2694" w:type="dxa"/>
          </w:tcPr>
          <w:p w14:paraId="7B0CA0FF" w14:textId="4FD04CE6"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587 905,4 </w:t>
            </w:r>
            <w:r w:rsidRPr="007E3AB4">
              <w:rPr>
                <w:rFonts w:cstheme="minorHAnsi"/>
                <w:szCs w:val="22"/>
                <w:lang w:val="en-GB"/>
              </w:rPr>
              <w:fldChar w:fldCharType="begin"/>
            </w:r>
            <w:r w:rsidR="003821FD">
              <w:rPr>
                <w:rFonts w:cstheme="minorHAnsi"/>
                <w:szCs w:val="22"/>
                <w:lang w:val="en-GB"/>
              </w:rPr>
              <w:instrText xml:space="preserve"> ADDIN ZOTERO_ITEM CSL_CITATION {"citationID":"gjxQYxPU","properties":{"formattedCitation":"(Weiss et al., 2020)","plainCitation":"(Weiss et al., 2020)","noteIndex":0},"citationItems":[{"id":3545,"uris":["http://zotero.org/groups/2281212/items/HJAJXH56"],"itemData":{"id":3545,"type":"article-journal","abstract":"As electric kick scooters, three-wheelers, and passenger cars enter the streets, efficiency trade-offs across vehicle types gain practical relevance for consumers and policy makers. Here, we compile a comprehensive dataset of 428 electric vehicles, including seven vehicle types and information on certified and real-world energy consumption. Regression analysis is applied to quantify trade-offs between energy consumption and other vehicle attributes.","container-title":"Environmental Sciences Europe","DOI":"10.1186/s12302-020-00307-8","ISSN":"2190-4715","issue":"1","journalAbbreviation":"Environmental Sciences Europe","page":"46","source":"BioMed Central","title":"Energy efficiency trade-offs in small to large electric vehicles","URL":"https://doi.org/10.1186/s12302-020-00307-8","volume":"32","author":[{"family":"Weiss","given":"Martin"},{"family":"Cloos","given":"Kira Christina"},{"family":"Helmers","given":"Eckard"}],"accessed":{"date-parts":[["2021",4,20]]},"issued":{"date-parts":[["2020",3,18]]}}}],"schema":"https://github.com/citation-style-language/schema/raw/master/csl-citation.json"}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rPr>
              <w:t>(Weiss et al., 2020)</w:t>
            </w:r>
            <w:r w:rsidRPr="007E3AB4">
              <w:rPr>
                <w:rFonts w:cstheme="minorHAnsi"/>
                <w:szCs w:val="22"/>
                <w:lang w:val="en-GB"/>
              </w:rPr>
              <w:fldChar w:fldCharType="end"/>
            </w:r>
          </w:p>
        </w:tc>
        <w:tc>
          <w:tcPr>
            <w:tcW w:w="3041" w:type="dxa"/>
          </w:tcPr>
          <w:p w14:paraId="2E89465B" w14:textId="41FFE076"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Cost of battery (SEK/</w:t>
            </w:r>
            <w:proofErr w:type="spellStart"/>
            <w:r w:rsidRPr="007E3AB4">
              <w:rPr>
                <w:rFonts w:cstheme="minorHAnsi"/>
                <w:szCs w:val="22"/>
                <w:lang w:val="en-GB"/>
              </w:rPr>
              <w:t>KWh</w:t>
            </w:r>
            <w:proofErr w:type="spellEnd"/>
            <w:r w:rsidRPr="007E3AB4">
              <w:rPr>
                <w:rFonts w:cstheme="minorHAnsi"/>
                <w:szCs w:val="22"/>
                <w:lang w:val="en-GB"/>
              </w:rPr>
              <w:t xml:space="preserve">): 1659,96 </w:t>
            </w:r>
            <w:r w:rsidRPr="007E3AB4">
              <w:rPr>
                <w:rFonts w:cstheme="minorHAnsi"/>
                <w:szCs w:val="22"/>
                <w:lang w:val="en-GB"/>
              </w:rPr>
              <w:fldChar w:fldCharType="begin"/>
            </w:r>
            <w:r w:rsidR="003821FD">
              <w:rPr>
                <w:rFonts w:cstheme="minorHAnsi"/>
                <w:szCs w:val="22"/>
                <w:lang w:val="en-GB"/>
              </w:rPr>
              <w:instrText xml:space="preserve"> ADDIN ZOTERO_ITEM CSL_CITATION {"citationID":"SJO5Xt8u","properties":{"formattedCitation":"(Nykvist and Nilsson, 2015)","plainCitation":"(Nykvist and Nilsson, 2015)","noteIndex":0},"citationItems":[{"id":17630,"uris":["http://zotero.org/groups/4571029/items/FAE6NWGW"],"itemData":{"id":17630,"type":"article-journal","container-title":"Nature Climate Change","DOI":"10.1038/nclimate2564","ISSN":"17586798","issue":"4","language":"English","note":"publisher: Nature Publishing Group\n329","page":"329-332","source":"EBSCOhost","title":"Rapidly falling costs of battery packs for electric vehicles","volume":"5","author":[{"family":"Nykvist","given":"B. ( 1 )"},{"family":"Nilsson","given":"M. ( 1","suffix":"2 )"}],"issued":{"date-parts":[["2015"]],"season":"25"}}}],"schema":"https://github.com/citation-style-language/schema/raw/master/csl-citation.json"}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(Nykvist and Nilsson, 2015)</w:t>
            </w:r>
            <w:r w:rsidRPr="007E3AB4">
              <w:rPr>
                <w:rFonts w:cstheme="minorHAnsi"/>
                <w:szCs w:val="22"/>
                <w:lang w:val="en-GB"/>
              </w:rPr>
              <w:fldChar w:fldCharType="end"/>
            </w:r>
          </w:p>
          <w:p w14:paraId="635CE44D" w14:textId="35516EBF"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Cost of energy (SEK/</w:t>
            </w:r>
            <w:proofErr w:type="spellStart"/>
            <w:r w:rsidRPr="007E3AB4">
              <w:rPr>
                <w:rFonts w:cstheme="minorHAnsi"/>
                <w:szCs w:val="22"/>
                <w:lang w:val="en-GB"/>
              </w:rPr>
              <w:t>KWh</w:t>
            </w:r>
            <w:proofErr w:type="spellEnd"/>
            <w:r w:rsidRPr="007E3AB4">
              <w:rPr>
                <w:rFonts w:cstheme="minorHAnsi"/>
                <w:szCs w:val="22"/>
                <w:lang w:val="en-GB"/>
              </w:rPr>
              <w:t xml:space="preserve">): 0,861586 </w:t>
            </w:r>
            <w:r w:rsidRPr="007E3AB4">
              <w:rPr>
                <w:rFonts w:cstheme="minorHAnsi"/>
                <w:szCs w:val="22"/>
                <w:lang w:val="en-GB"/>
              </w:rPr>
              <w:fldChar w:fldCharType="begin"/>
            </w:r>
            <w:r w:rsidR="003821FD">
              <w:rPr>
                <w:rFonts w:cstheme="minorHAnsi"/>
                <w:szCs w:val="22"/>
                <w:lang w:val="en-GB"/>
              </w:rPr>
              <w:instrText xml:space="preserve"> ADDIN ZOTERO_ITEM CSL_CITATION {"citationID":"hciyIC1z","properties":{"formattedCitation":"(Hagman et al., 2016)","plainCitation":"(Hagman et al., 2016)","noteIndex":0},"citationItems":[{"id":18849,"uris":["http://zotero.org/groups/2281212/items/NK7LY988"],"itemData":{"id":18849,"type":"article-journal","abstract":"Battery electric vehicles (BEVs) have been slow to diffuse on the international as well as the Swedish market. Previous studies have indicated situational factors such as economic factors, size and performance to be of major importance for vehicle purchasers in their choice of vehicle. In this paper, the authors explore a consumer centric total cost of ownership (TCO) model to investigate the possible discrepancy between purchase price and the TCO between internal combustion engine vehicles (ICEVs), hybrid electric vehicles (HEVs) and BEVs. The creation and testing of the TCO model reveals that computation could be a challenging task for consumers due to bounded access of relevant data and the prediction of future conditions. The application of the model to the vehicle sample found that BEVs could be cheaper compared to ICEVs and HEVs. The findings in this paper could prove to be of importance for policy and marketing alike in designing the most appropriate business models and information campaigns based on consumer conditions in order to further promoting the diffusion of BEVs in society.","collection-title":"Innovations in Technologies for Sustainable Transport","container-title":"Research in Transportation Business &amp; Management","DOI":"10.1016/j.rtbm.2016.01.003","ISSN":"2210-5395","journalAbbreviation":"Research in Transportation Business &amp; Management","language":"en","page":"11-17","source":"ScienceDirect","title":"Total cost of ownership and its potential implications for battery electric vehicle diffusion","URL":"https://www.sciencedirect.com/science/article/pii/S2210539516000043","volume":"18","author":[{"family":"Hagman","given":"Jens"},{"family":"Ritzén","given":"Sofia"},{"family":"Stier","given":"Jenny Janhager"},{"family":"Susilo","given":"Yusak"}],"accessed":{"date-parts":[["2022",10,25]]},"issued":{"date-parts":[["2016",3,1]]}}}],"schema":"https://github.com/citation-style-language/schema/raw/master/csl-citation.json"} </w:instrText>
            </w:r>
            <w:r w:rsidRPr="007E3AB4">
              <w:rPr>
                <w:rFonts w:cstheme="minorHAnsi"/>
                <w:szCs w:val="22"/>
                <w:lang w:val="en-GB"/>
              </w:rPr>
              <w:fldChar w:fldCharType="separate"/>
            </w:r>
            <w:r w:rsidR="003821FD" w:rsidRPr="00F955A1">
              <w:rPr>
                <w:rFonts w:ascii="Calibri" w:hAnsi="Calibri" w:cs="Calibri"/>
                <w:lang w:val="en-GB"/>
              </w:rPr>
              <w:t>(Hagman et al., 2016)</w:t>
            </w:r>
            <w:r w:rsidRPr="007E3AB4">
              <w:rPr>
                <w:rFonts w:cstheme="minorHAnsi"/>
                <w:szCs w:val="22"/>
                <w:lang w:val="en-GB"/>
              </w:rPr>
              <w:fldChar w:fldCharType="end"/>
            </w:r>
          </w:p>
        </w:tc>
      </w:tr>
      <w:tr w:rsidR="00000E8C" w:rsidRPr="007E3AB4" w14:paraId="2F49D269" w14:textId="77777777" w:rsidTr="00000E8C">
        <w:trPr>
          <w:trHeight w:val="260"/>
        </w:trPr>
        <w:tc>
          <w:tcPr>
            <w:tcW w:w="3539" w:type="dxa"/>
          </w:tcPr>
          <w:p w14:paraId="4A9A6315"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Hydrogen cars adoption</w:t>
            </w:r>
          </w:p>
        </w:tc>
        <w:tc>
          <w:tcPr>
            <w:tcW w:w="4961" w:type="dxa"/>
          </w:tcPr>
          <w:p w14:paraId="1FD7F053" w14:textId="7CE0EDB0"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89% of diesel cars emissions and 67% of gasoline cars emissions (consumption-based emissions) </w:t>
            </w:r>
            <w:r w:rsidRPr="007E3AB4">
              <w:rPr>
                <w:rFonts w:cstheme="minorHAnsi"/>
                <w:szCs w:val="22"/>
                <w:lang w:val="en-GB"/>
              </w:rPr>
              <w:fldChar w:fldCharType="begin"/>
            </w:r>
            <w:r w:rsidR="003821FD">
              <w:rPr>
                <w:rFonts w:cstheme="minorHAnsi"/>
                <w:szCs w:val="22"/>
                <w:lang w:val="en-GB"/>
              </w:rPr>
              <w:instrText xml:space="preserve"> ADDIN ZOTERO_ITEM CSL_CITATION {"citationID":"cI2SUeZG","properties":{"formattedCitation":"(Energiforsk, 2021)","plainCitation":"(Energiforsk, 2021)","noteIndex":0},"citationItems":[{"id":18850,"uris":["http://zotero.org/groups/2281212/items/HZUWVW6B"],"itemData":{"id":18850,"type":"document","title":"Climate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(Energiforsk, 2021)</w:t>
            </w:r>
            <w:r w:rsidRPr="007E3AB4">
              <w:rPr>
                <w:rFonts w:cstheme="minorHAnsi"/>
                <w:szCs w:val="22"/>
                <w:lang w:val="en-GB"/>
              </w:rPr>
              <w:fldChar w:fldCharType="end"/>
            </w:r>
          </w:p>
          <w:p w14:paraId="3A2B75DF" w14:textId="5A89D0F0"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73% of diesel cars emissions and 52% of gasoline cars emissions (territorial emissions) </w:t>
            </w:r>
            <w:r w:rsidRPr="007E3AB4">
              <w:rPr>
                <w:rFonts w:cstheme="minorHAnsi"/>
                <w:szCs w:val="22"/>
                <w:lang w:val="en-GB"/>
              </w:rPr>
              <w:fldChar w:fldCharType="begin"/>
            </w:r>
            <w:r w:rsidR="003821FD">
              <w:rPr>
                <w:rFonts w:cstheme="minorHAnsi"/>
                <w:szCs w:val="22"/>
                <w:lang w:val="en-GB"/>
              </w:rPr>
              <w:instrText xml:space="preserve"> ADDIN ZOTERO_ITEM CSL_CITATION {"citationID":"1Ec6KHlL","properties":{"formattedCitation":"(Energiforsk, 2021)","plainCitation":"(Energiforsk, 2021)","noteIndex":0},"citationItems":[{"id":18850,"uris":["http://zotero.org/groups/2281212/items/HZUWVW6B"],"itemData":{"id":18850,"type":"document","title":"Climate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(Energiforsk, 2021)</w:t>
            </w:r>
            <w:r w:rsidRPr="007E3AB4">
              <w:rPr>
                <w:rFonts w:cstheme="minorHAnsi"/>
                <w:szCs w:val="22"/>
                <w:lang w:val="en-GB"/>
              </w:rPr>
              <w:fldChar w:fldCharType="end"/>
            </w:r>
          </w:p>
        </w:tc>
        <w:tc>
          <w:tcPr>
            <w:tcW w:w="2694" w:type="dxa"/>
          </w:tcPr>
          <w:p w14:paraId="3055BE0F"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(As of 2021 only two hydrogen cars available on the markets), average cost: 774 900</w:t>
            </w:r>
          </w:p>
        </w:tc>
        <w:tc>
          <w:tcPr>
            <w:tcW w:w="3041" w:type="dxa"/>
          </w:tcPr>
          <w:p w14:paraId="64691B51" w14:textId="4CD0DFD2"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Cost of hydrogen:  27,37 (SEK/Kg)  </w:t>
            </w:r>
            <w:r w:rsidRPr="007E3AB4">
              <w:rPr>
                <w:rFonts w:cstheme="minorHAnsi"/>
                <w:szCs w:val="22"/>
                <w:lang w:val="en-GB"/>
              </w:rPr>
              <w:fldChar w:fldCharType="begin"/>
            </w:r>
            <w:r w:rsidR="003821FD">
              <w:rPr>
                <w:rFonts w:cstheme="minorHAnsi"/>
                <w:szCs w:val="22"/>
                <w:lang w:val="en-GB"/>
              </w:rPr>
              <w:instrText xml:space="preserve"> ADDIN ZOTERO_ITEM CSL_CITATION {"citationID":"cB9e4ZDs","properties":{"formattedCitation":"(Tang et al., 2021)","plainCitation":"(Tang et al., 2021)","noteIndex":0},"citationItems":[{"id":18848,"uris":["http://zotero.org/groups/2281212/items/2GBX8ZKD"],"itemData":{"id":18848,"type":"article-journal","abstract":"With more renewables on the Swedish electricity market, while decommissioning nuclear power plants, electricity supply increasingly fluctuates and electricity prices are more volatile. There is, hence, a need for securing the electricity supply before energy storage solutions become widespread. Electricity price fluctuations, moreover, affect operating income of nuclear power plants due to their inherent operational inflexibility. Since the anticipated new applications of hydrogen in fuel cell vehicles and steel production, producing hydrogen has become a potential source of income, particularly when there is a surplus supply of electricity at low prices. The feasibility of investing in hydrogen production was investigated in a nuclear power plant, applying Swedish energy policy as background. The analysis applies a system dynamics approach incorporating the stochastic feature of electricity supply and prices. The study revealed that hydrogen production brings alternative opportunities for large-scale electricity production facilities in Sweden. Factors such as hydrogen price will be influential and require in-depth investigation. This study provides guidelines for power sector policymakers and managers who plan to engage in hydrogen production for industrial applications. Although this study was focused upon nuclear power sources, it can be extended to hydrogen production from renewable energy sources such as wind and solar.","container-title":"Energy Policy","DOI":"10.1016/j.enpol.2020.111990","ISSN":"0301-4215","journalAbbreviation":"Energy Policy","language":"en","page":"111990","source":"ScienceDirect","title":"Hydrogen production in the Swedish power sector: Considering operational volatilities and long-term uncertainties","title-short":"Hydrogen production in the Swedish power sector","URL":"https://www.sciencedirect.com/science/article/pii/S0301421520307011","volume":"148","author":[{"family":"Tang","given":"Ou"},{"family":"Rehme","given":"Jakob"},{"family":"Cerin","given":"Pontus"},{"family":"Huisingh","given":"Donald"}],"accessed":{"date-parts":[["2022",10,25]]},"issued":{"date-parts":[["2021",1,1]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rPr>
              <w:t>(Tang et al., 2021)</w:t>
            </w:r>
            <w:r w:rsidRPr="007E3AB4">
              <w:rPr>
                <w:rFonts w:cstheme="minorHAnsi"/>
                <w:szCs w:val="22"/>
                <w:lang w:val="en-GB"/>
              </w:rPr>
              <w:fldChar w:fldCharType="end"/>
            </w:r>
          </w:p>
        </w:tc>
      </w:tr>
      <w:tr w:rsidR="00000E8C" w:rsidRPr="00E9590B" w14:paraId="11A36C97" w14:textId="77777777" w:rsidTr="00E649DA">
        <w:trPr>
          <w:trHeight w:val="260"/>
        </w:trPr>
        <w:tc>
          <w:tcPr>
            <w:tcW w:w="3539" w:type="dxa"/>
          </w:tcPr>
          <w:p w14:paraId="06BD1CD4"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BAT household appliances</w:t>
            </w:r>
          </w:p>
        </w:tc>
        <w:tc>
          <w:tcPr>
            <w:tcW w:w="4961" w:type="dxa"/>
          </w:tcPr>
          <w:p w14:paraId="2007A278" w14:textId="0A22E36C"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20,75% emissions reduction compared to the current average energy consumption when all the appliances in </w:t>
            </w:r>
            <w:r w:rsidRPr="007E3AB4">
              <w:rPr>
                <w:rFonts w:cstheme="minorHAnsi"/>
                <w:szCs w:val="22"/>
                <w:lang w:val="en-GB"/>
              </w:rPr>
              <w:fldChar w:fldCharType="begin"/>
            </w:r>
            <w:r w:rsidR="003821FD">
              <w:rPr>
                <w:rFonts w:cstheme="minorHAnsi"/>
                <w:szCs w:val="22"/>
                <w:lang w:val="en-GB"/>
              </w:rPr>
              <w:instrText xml:space="preserve"> ADDIN ZOTERO_ITEM CSL_CITATION {"citationID":"wjl2dQI9","properties":{"formattedCitation":"(Dodoo et al., 2018, 2017a, 2017b)","plainCitation":"(Dodoo et al., 2018, 2017a, 2017b)","noteIndex":0},"citationItems":[{"id":4772,"uris":["http://zotero.org/groups/2281212/items/KXMFG4QV"],"itemData":{"id":4772,"type":"article-journal","abstract":"The European Union's Directive on energy performance of buildings emphasizes the need to take cost-effectiveness into account when measures are implemented for improved building energy efficiency. In this study, we investigate cost-effective energy renovation measures for a district heated building under different contexts, including varied locations, energy supply systems and economic scenarios. We determine the final and primary energy savings of cost-effective energy renovation packages for the building in the different contexts. The measures analysed include: improved insulation for attic floor, basement walls, and exterior walls; improved windows and doors; resource-efficient taps; heat recovery of exhaust ventilation air; energy-efficient household appliances and lighting. We consider three existing Swedish energy supply systems of varying district heat production scale and tariffs, and also plausible renewable-based energy supply systems. Our analysis calculates the final energy savings of the measures including the cost-effective renovation packages on hourly basis and links these to the different energy supply systems. The cost-effectiveness analysis is based on a double-stage optimization method, considering total and marginal investment costs of renovation measures as well as associated net present values of total and marginal cost savings. The results show that significant final and primary energy savings can be achieved when energy renovation measures are implemented for the building in the different contexts. This study shows that heat demand in existing Swedish building could be about halved while electricity use may be reduced considerably with cost-effective energy renovation measures. The economic viability of the renovation measures is sensitive to the economic regimes especially discount rates and energy price increase.","container-title":"Energy","DOI":"10.1016/j.energy.2017.10.113","ISSN":"0360-5442","journalAbbreviation":"Energy","language":"en","page":"69-90","source":"ScienceDirect","title":"Primary energy benefits of cost-effective energy renovation of a district heated multi-family building under different energy supply systems","URL":"https://www.sciencedirect.com/science/article/pii/S0360544217318182","volume":"143","author":[{"family":"Dodoo","given":"Ambrose"},{"family":"Gustavsson","given":"Leif"},{"family":"Le Truong","given":"Nguyen"}],"accessed":{"date-parts":[["2021",5,26]]},"issued":{"date-parts":[["2018",1,15]]}}},{"id":4724,"uris":["http://zotero.org/groups/2281212/items/BYLCY5RD"],"itemData":{"id":4724,"type":"article-journal","abstract":"In this study we present a method for analysis of cost-effectiveness of end-use energy efficiency measures and demonstrate its application for modelling a wide range of energy renovation measures for a typical 1970s multi-family building in Sweden. The method integrates energy balance and bottom-up economic calculations considering total and marginal investment costs of energy efficiency measures as well as net present value of total and marginal savings of the measures. The energy renovation measures explored include additional insulation to basement walls, exterior walls, and attic floor, improved new windows, efficient electric appliances and lighting, efficient water taps, glazed enclosed balcony systems, and exhaust air ventilation heat recovery systems. The measures are analysed first individually and then designed to form economic packages. Our results show that improved windows give the biggest single final energy savings while resource-efficient taps is the most cost-effective measure for the building. We find that the cost-effectiveness of the energy renovation measures is sensitive to real discount rates and energy price increases. Cost-optimal final heat savings varies between 34% and 51%, depending on the choice of real discount rate and energy price increase. The corresponding electricity savings varies between 35% and 43%. This study shows a method and the significance of various technical and economic-related parameters in achieving deep energy savings cost-efficiently.","container-title":"Energy","DOI":"10.1016/j.energy.2017.06.123","ISSN":"0360-5442","journalAbbreviation":"Energy","language":"en","page":"563-576","source":"ScienceDirect","title":"Final energy savings and cost-effectiveness of deep energy renovation of a multi-storey residential building","URL":"https://www.sciencedirect.com/science/article/pii/S0360544217311209","volume":"135","author":[{"family":"Dodoo","given":"Ambrose"},{"family":"Gustavsson","given":"Leif"},{"family":"Tettey","given":"Uniben Y. A."}],"accessed":{"date-parts":[["2021",10,15]]},"issued":{"date-parts":[["2017",9,15]]}}},{"id":4720,"uris":["http://zotero.org/groups/2281212/items/P2RPH3G8"],"itemData":{"id":4720,"type":"article-journal","abstract":"In this study, we modelled the influence of different simulation assumptions on energy balances of two variants of a residential building, comprising the building in its existing state and with energy-efficient improvements. We explored how selected parameter combinations and variations affect the energy balances of the building configurations. The selected parameters encompass outdoor microclimate, building thermal envelope and household electrical equipment including technical installations. Our modelling takes into account hourly as well as seasonal profiles of different internal heat gains. The results suggest that the impact of parameter interactions on calculated space heating of buildings is somewhat small and relatively more noticeable for an energy-efficient building in contrast to a conventional building. We find that the influence of parameters combinations is more apparent as more individual parameters are varied. The simulations show that a building's calculated space heating demand is significantly influenced by how heat gains from electrical equipment are modelled. For the analyzed building versions, calculated final energy for space heating differs by 9–14 kWh/m2 depending on the assumed energy efficiency level for electrical equipment. The influence of electrical equipment on calculated final space heating is proportionally more significant for an energy-efficient building compared to a conventional building. This study shows the influence of different simulation assumptions and parameter combinations when varied simultaneously.","container-title":"Energy","DOI":"10.1016/j.energy.2016.11.124","ISSN":"0360-5442","journalAbbreviation":"Energy","language":"en","page":"718-730","source":"ScienceDirect","title":"Influence of simulation assumptions and input parameters on energy balance calculations of residential buildings","URL":"https://www.sciencedirect.com/science/article/pii/S0360544216317819","volume":"120","author":[{"family":"Dodoo","given":"Ambrose"},{"family":"Tettey","given":"Uniben Yao Ayikoe"},{"family":"Gustavsson","given":"Leif"}],"accessed":{"date-parts":[["2021",10,15]]},"issued":{"date-parts":[["2017",2,1]]}}}],"schema":"https://github.com/citation-style-language/schema/raw/master/csl-citation.json"}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(Dodoo et al., 2018, 2017a, 2017b)</w:t>
            </w:r>
            <w:r w:rsidRPr="007E3AB4">
              <w:rPr>
                <w:rFonts w:cstheme="minorHAnsi"/>
                <w:szCs w:val="22"/>
                <w:lang w:val="en-GB"/>
              </w:rPr>
              <w:fldChar w:fldCharType="end"/>
            </w:r>
          </w:p>
        </w:tc>
        <w:tc>
          <w:tcPr>
            <w:tcW w:w="2694" w:type="dxa"/>
          </w:tcPr>
          <w:p w14:paraId="5FF0AAEF"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Different costs for different appliances. Checked them through the largest retailer in Sweden</w:t>
            </w:r>
          </w:p>
        </w:tc>
        <w:tc>
          <w:tcPr>
            <w:tcW w:w="3041" w:type="dxa"/>
          </w:tcPr>
          <w:p w14:paraId="2EDA8EC2"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E9590B" w14:paraId="113FE55E" w14:textId="77777777" w:rsidTr="00E649DA">
        <w:trPr>
          <w:trHeight w:val="260"/>
        </w:trPr>
        <w:tc>
          <w:tcPr>
            <w:tcW w:w="3539" w:type="dxa"/>
          </w:tcPr>
          <w:p w14:paraId="4589949A"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District heating fossil fuels production shifted towards wood pellet</w:t>
            </w:r>
          </w:p>
        </w:tc>
        <w:tc>
          <w:tcPr>
            <w:tcW w:w="4961" w:type="dxa"/>
          </w:tcPr>
          <w:p w14:paraId="4A16B72E" w14:textId="77777777"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Reduction computed using the emission factors of the different fuels, available through the Danish Energy Agency (2022), </w:t>
            </w:r>
            <w:r w:rsidRPr="007E3AB4">
              <w:rPr>
                <w:rFonts w:cstheme="minorHAnsi"/>
                <w:i/>
                <w:iCs/>
                <w:szCs w:val="22"/>
                <w:lang w:val="en-GB"/>
              </w:rPr>
              <w:t>Technology Data – Generation of Electricity and District heating</w:t>
            </w:r>
          </w:p>
        </w:tc>
        <w:tc>
          <w:tcPr>
            <w:tcW w:w="2694" w:type="dxa"/>
          </w:tcPr>
          <w:p w14:paraId="647E3461"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58AC50D1"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Fixed O&amp;M (€/</w:t>
            </w:r>
            <w:proofErr w:type="spellStart"/>
            <w:r w:rsidRPr="007E3AB4">
              <w:rPr>
                <w:rFonts w:cstheme="minorHAnsi"/>
                <w:szCs w:val="22"/>
                <w:lang w:val="en-GB"/>
              </w:rPr>
              <w:t>MWth</w:t>
            </w:r>
            <w:proofErr w:type="spellEnd"/>
            <w:r w:rsidRPr="007E3AB4">
              <w:rPr>
                <w:rFonts w:cstheme="minorHAnsi"/>
                <w:szCs w:val="22"/>
                <w:lang w:val="en-GB"/>
              </w:rPr>
              <w:t>/year): 211849</w:t>
            </w:r>
          </w:p>
          <w:p w14:paraId="65A54B20"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Variable O&amp;M (€/MWh): 6</w:t>
            </w:r>
          </w:p>
        </w:tc>
      </w:tr>
      <w:tr w:rsidR="00000E8C" w:rsidRPr="007E3AB4" w14:paraId="25F6FE0D" w14:textId="77777777" w:rsidTr="00E649DA">
        <w:trPr>
          <w:trHeight w:val="260"/>
        </w:trPr>
        <w:tc>
          <w:tcPr>
            <w:tcW w:w="3539" w:type="dxa"/>
          </w:tcPr>
          <w:p w14:paraId="5B4EF959"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Indoor temperature reduction</w:t>
            </w:r>
          </w:p>
        </w:tc>
        <w:tc>
          <w:tcPr>
            <w:tcW w:w="4961" w:type="dxa"/>
          </w:tcPr>
          <w:p w14:paraId="7FC0BFFE" w14:textId="44BB700B"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21% energy demand reduction for single dwellings and 23% energy demand reduction for multi-dwellings </w:t>
            </w:r>
            <w:r w:rsidRPr="007E3AB4">
              <w:rPr>
                <w:rFonts w:cstheme="minorHAnsi"/>
                <w:szCs w:val="22"/>
                <w:lang w:val="en-GB"/>
              </w:rPr>
              <w:fldChar w:fldCharType="begin"/>
            </w:r>
            <w:r w:rsidR="003821FD">
              <w:rPr>
                <w:rFonts w:cstheme="minorHAnsi"/>
                <w:szCs w:val="22"/>
                <w:lang w:val="en-GB"/>
              </w:rPr>
              <w:instrText xml:space="preserve"> ADDIN ZOTERO_ITEM CSL_CITATION {"citationID":"uPrQzswg","properties":{"formattedCitation":"(Savvidou and Nykvist, 2020)","plainCitation":"(Savvidou and Nykvist, 2020)","noteIndex":0},"citationItems":[{"id":4652,"uris":["http://zotero.org/groups/2281212/items/A7MSE9DF"],"itemData":{"id":4652,"type":"article-journal","abstract":"A transition to a more efficient heat energy system requires the consideration of drivers covering behavioural change, upgrades of the building stock and substitution or improvements in technologies in use. Sweden has set the target to reduce total energy demand per heated area in buildings by 50% by 2050 compared to 1995. This study aims to estimate the potential for reducing heat energy demand in the Swedish residential building stock taking into account behavioural, structural and technological categories of drivers. A combination of bottom-up energy modelling with scenario methodology informed by socio-technical analysis of barriers was used. Our results show that the target can be achieved by combining at least two of the categories of drivers. However, it is noteworthy that the technological category, which has by far the lowest level of barriers, almost reaches the target largely owing to the high impact for single-family houses, showing the crucial role of changes in the technology mix. However, as the same drivers have different demand reduction potential in the two main building types in Sweden, single and multi-family houses, this calls for policymakers to lead on initiatives that foster a combination of technological, behavioural and structural improvements for the latter.","container-title":"Energy Policy","DOI":"10.1016/j.enpol.2020.111679","ISSN":"0301-4215","journalAbbreviation":"Energy Policy","language":"en","page":"111679","source":"ScienceDirect","title":"Heat demand in the Swedish residential building stock - pathways on demand reduction potential based on socio-technical analysis","URL":"https://www.sciencedirect.com/science/article/pii/S0301421520304080","volume":"144","author":[{"family":"Savvidou","given":"Georgia"},{"family":"Nykvist","given":"Björn"}],"accessed":{"date-parts":[["2021",6,7]]},"issued":{"date-parts":[["2020",9,1]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(Savvidou and Nykvist, 2020)</w:t>
            </w:r>
            <w:r w:rsidRPr="007E3AB4">
              <w:rPr>
                <w:rFonts w:cstheme="minorHAnsi"/>
                <w:szCs w:val="22"/>
                <w:lang w:val="en-GB"/>
              </w:rPr>
              <w:fldChar w:fldCharType="end"/>
            </w:r>
          </w:p>
        </w:tc>
        <w:tc>
          <w:tcPr>
            <w:tcW w:w="2694" w:type="dxa"/>
          </w:tcPr>
          <w:p w14:paraId="20926C5C"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3041" w:type="dxa"/>
          </w:tcPr>
          <w:p w14:paraId="2C53CD48"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7E3AB4" w14:paraId="23C520B9" w14:textId="77777777" w:rsidTr="00E649DA">
        <w:trPr>
          <w:trHeight w:val="260"/>
        </w:trPr>
        <w:tc>
          <w:tcPr>
            <w:tcW w:w="3539" w:type="dxa"/>
          </w:tcPr>
          <w:p w14:paraId="0F7D09B9"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Retrofitting</w:t>
            </w:r>
          </w:p>
        </w:tc>
        <w:tc>
          <w:tcPr>
            <w:tcW w:w="4961" w:type="dxa"/>
          </w:tcPr>
          <w:p w14:paraId="4AEABF3F" w14:textId="3F6D2996"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Complete retrofitting (roof, walls and windows) can lead to a 26% energy demand reduction in single dwellings and a 27% energy demand reduction in multi-dwellings </w:t>
            </w:r>
            <w:r w:rsidRPr="007E3AB4">
              <w:rPr>
                <w:rFonts w:cstheme="minorHAnsi"/>
                <w:szCs w:val="22"/>
                <w:lang w:val="en-GB"/>
              </w:rPr>
              <w:fldChar w:fldCharType="begin"/>
            </w:r>
            <w:r w:rsidR="003821FD">
              <w:rPr>
                <w:rFonts w:cstheme="minorHAnsi"/>
                <w:szCs w:val="22"/>
                <w:lang w:val="en-GB"/>
              </w:rPr>
              <w:instrText xml:space="preserve"> ADDIN ZOTERO_ITEM CSL_CITATION {"citationID":"Zh32ztUu","properties":{"formattedCitation":"(Savvidou and Nykvist, 2020)","plainCitation":"(Savvidou and Nykvist, 2020)","noteIndex":0},"citationItems":[{"id":4652,"uris":["http://zotero.org/groups/2281212/items/A7MSE9DF"],"itemData":{"id":4652,"type":"article-journal","abstract":"A transition to a more efficient heat energy system requires the consideration of drivers covering behavioural change, upgrades of the building stock and substitution or improvements in technologies in use. Sweden has set the target to reduce total energy demand per heated area in buildings by 50% by 2050 compared to 1995. This study aims to estimate the potential for reducing heat energy demand in the Swedish residential building stock taking into account behavioural, structural and technological categories of drivers. A combination of bottom-up energy modelling with scenario methodology informed by socio-technical analysis of barriers was used. Our results show that the target can be achieved by combining at least two of the categories of drivers. However, it is noteworthy that the technological category, which has by far the lowest level of barriers, almost reaches the target largely owing to the high impact for single-family houses, showing the crucial role of changes in the technology mix. However, as the same drivers have different demand reduction potential in the two main building types in Sweden, single and multi-family houses, this calls for policymakers to lead on initiatives that foster a combination of technological, behavioural and structural improvements for the latter.","container-title":"Energy Policy","DOI":"10.1016/j.enpol.2020.111679","ISSN":"0301-4215","journalAbbreviation":"Energy Policy","language":"en","page":"111679","source":"ScienceDirect","title":"Heat demand in the Swedish residential building stock - pathways on demand reduction potential based on socio-technical analysis","URL":"https://www.sciencedirect.com/science/article/pii/S0301421520304080","volume":"144","author":[{"family":"Savvidou","given":"Georgia"},{"family":"Nykvist","given":"Björn"}],"accessed":{"date-parts":[["2021",6,7]]},"issued":{"date-parts":[["2020",9,1]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(Savvidou and Nykvist, 2020)</w:t>
            </w:r>
            <w:r w:rsidRPr="007E3AB4">
              <w:rPr>
                <w:rFonts w:cstheme="minorHAnsi"/>
                <w:szCs w:val="22"/>
                <w:lang w:val="en-GB"/>
              </w:rPr>
              <w:fldChar w:fldCharType="end"/>
            </w:r>
          </w:p>
        </w:tc>
        <w:tc>
          <w:tcPr>
            <w:tcW w:w="2694" w:type="dxa"/>
          </w:tcPr>
          <w:p w14:paraId="2AB7A0D7" w14:textId="5E639304"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Costs per element are detailed in </w:t>
            </w:r>
            <w:r w:rsidRPr="007E3AB4">
              <w:rPr>
                <w:rFonts w:cstheme="minorHAnsi"/>
                <w:szCs w:val="22"/>
                <w:lang w:val="en-GB"/>
              </w:rPr>
              <w:fldChar w:fldCharType="begin"/>
            </w:r>
            <w:r w:rsidR="003821FD">
              <w:rPr>
                <w:rFonts w:cstheme="minorHAnsi"/>
                <w:szCs w:val="22"/>
                <w:lang w:val="en-GB"/>
              </w:rPr>
              <w:instrText xml:space="preserve"> ADDIN ZOTERO_ITEM CSL_CITATION {"citationID":"3dPSFNoP","properties":{"formattedCitation":"(La Fleur et al., 2019)","plainCitation":"(La Fleur et al., 2019)","noteIndex":0},"citationItems":[{"id":4771,"uris":["http://zotero.org/groups/2281212/items/P2S32M5U"],"itemData":{"id":4771,"type":"article-journal","abstract":"A significant reduction in energy use in the building stock is a major challenge for the future, and doing this in a cost-effective manner is important. This study uses an optimization approach to identify life cycle cost (LCC) optimal energy efficiency measures (EEMs) to implement as part of a renovation of a multifamily building in Sweden. The studied building is a multifamily building with a lightweight concrete construction and an exhaust air ventilation system, built in 1961. The optimization tool OPERA-MILP is used. The energy renovation approaches are compared to both the performed energy renovation of the building and a validated dynamic energy simulation model in IDA ICE 4.8. The results show that under the given framework conditions and assumptions it is not cost-optimal to improve the thermal performance of the building envelope or to implement heat recovery ventilation measures to reduce the space heating demand in the building when considering a life cycle of 40 years. Balanced mechanical ventilation system with heat recovery is cost-effective when an energy saving target of 40% is introduced. The energy renovation of the building has a slightly higher LCC than the cost-optimal level, and it would have been more cost-effective to add more insulation to the façade instead of the attic to achieve the same level of energy saving. A sensitivity analysis has been performed to reveal the effect of the discount rate, energy price, cost of EEMs, thermal properties of the building envelope and windows’ solar heat gain factors on the LCC.","container-title":"Energy and Buildings","DOI":"10.1016/j.enbuild.2019.109438","ISSN":"0378-7788","journalAbbreviation":"Energy and Buildings","language":"en","page":"109438","source":"ScienceDirect","title":"Investigating cost-optimal energy renovation of a multifamily building in Sweden","URL":"https://www.sciencedirect.com/science/article/pii/S0378778818334157","volume":"203","author":[{"family":"La Fleur","given":"Lina"},{"family":"Rohdin","given":"Patrik"},{"family":"Moshfegh","given":"Bahram"}],"accessed":{"date-parts":[["2021",5,26]]},"issued":{"date-parts":[["2019",11,15]]}}}],"schema":"https://github.com/citation-style-language/schema/raw/master/csl-citation.json"}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lang w:val="en-US"/>
              </w:rPr>
              <w:t>(La Fleur et al., 2019)</w:t>
            </w:r>
            <w:r w:rsidRPr="007E3AB4">
              <w:rPr>
                <w:rFonts w:cstheme="minorHAnsi"/>
                <w:szCs w:val="22"/>
                <w:lang w:val="en-GB"/>
              </w:rPr>
              <w:fldChar w:fldCharType="end"/>
            </w:r>
          </w:p>
        </w:tc>
        <w:tc>
          <w:tcPr>
            <w:tcW w:w="3041" w:type="dxa"/>
          </w:tcPr>
          <w:p w14:paraId="61A2207C" w14:textId="77777777" w:rsidR="00000E8C" w:rsidRPr="007E3AB4" w:rsidRDefault="00000E8C" w:rsidP="00E20E52">
            <w:pPr>
              <w:spacing w:after="0" w:line="36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000E8C" w:rsidRPr="007E3AB4" w14:paraId="22A44106" w14:textId="77777777" w:rsidTr="00E649DA">
        <w:trPr>
          <w:trHeight w:val="260"/>
        </w:trPr>
        <w:tc>
          <w:tcPr>
            <w:tcW w:w="3539" w:type="dxa"/>
          </w:tcPr>
          <w:p w14:paraId="5C850D5B"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LBG heavy trucks adoption</w:t>
            </w:r>
          </w:p>
        </w:tc>
        <w:tc>
          <w:tcPr>
            <w:tcW w:w="4961" w:type="dxa"/>
          </w:tcPr>
          <w:p w14:paraId="775E4614" w14:textId="7777777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19% of the emissions of a diesel heavy truck </w:t>
            </w:r>
          </w:p>
        </w:tc>
        <w:tc>
          <w:tcPr>
            <w:tcW w:w="2694" w:type="dxa"/>
          </w:tcPr>
          <w:p w14:paraId="76B36E4A" w14:textId="48EE6245"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t xml:space="preserve">2 718 636,75 </w:t>
            </w:r>
            <w:r w:rsidRPr="007E3AB4">
              <w:rPr>
                <w:rFonts w:cstheme="minorHAnsi"/>
                <w:szCs w:val="22"/>
                <w:lang w:val="en-GB"/>
              </w:rPr>
              <w:fldChar w:fldCharType="begin"/>
            </w:r>
            <w:r w:rsidR="003821FD">
              <w:rPr>
                <w:rFonts w:cstheme="minorHAnsi"/>
                <w:szCs w:val="22"/>
                <w:lang w:val="en-GB"/>
              </w:rPr>
              <w:instrText xml:space="preserve"> ADDIN ZOTERO_ITEM CSL_CITATION {"citationID":"TltUJCB0","properties":{"formattedCitation":"(Takman and Andersson-Sk\\uc0\\u246{}ld, 2021)","plainCitation":"(Takman and Andersson-Sköld, 2021)","noteIndex":0},"citationItems":[{"id":17628,"uris":["http://zotero.org/groups/4571029/items/IFSPHYKW"],"itemData":{"id":17628,"type":"article-journal","abstract":"This study has developed and applied a framework to analyse barriers, opportunities, and potential solutions for the diffusion of alternative fuels, here exemplified by liquefied biogas (LBG) for heavy trucks. The study is based on expert and stakeholder interviews in Sweden. Also, the study estimates a cost example of using heavy duty LBG-trucks instead of conventional diesel trucks. The framework is based on two previously published frameworks to categorise barriers, opportunities, and potential solutions and comprises five categories: financial, technical/commercial/physical, policy, public acceptability, and market structure/interaction barriers. Each category considers both the system and actor levels. The results of this study fit the framework's categories well, and the framework is appropriate for analysing the diffusion of liquefied biogas for heavy trucks, and other technologies with similar characteristics. The results further indicate that a network level, in addition to the system and actor levels, could advance our understanding of renewable energy diffusion. The most mentioned opportunities were climate/environmental benefits, potential profitability, and newly introduced policies. The cost estimates show that given current taxes and policies in Sweden, the costs of using LBG-trucks are only marginally higher than those of using conventional diesel trucks. Commonly cited barriers were financial issues, an unstable policy context, lack of infrastructure, and lack of knowledge. Suggested solutions for overcoming barriers were financial incentives, a stable policy context, demonstration projects, and information campaigns. Improved knowledge and working together throughout the biogas value chain, with a palette of renewable energy options, are important for accelerating a sustainable renewable fuel diffusion. Several policy instruments that currently exists in Sweden already target the mentioned barriers. Thus, it is important to continuously evaluate policy instruments to understand if they are effective and efficient, or if anything need to be changed to reach the targets of the policy instrument.","container-title":"Transport Policy","DOI":"10.1016/j.tranpol.2021.05.021","ISSN":"0967-070X","journalAbbreviation":"Transport Policy","language":"en","page":"150-160","source":"ScienceDirect","title":"A framework for barriers, opportunities, and potential solutions for renewable energy diffusion: Exemplified by liquefied biogas for heavy trucks","title-short":"A framework for barriers, opportunities, and potential solutions for renewable energy diffusion","URL":"https://www.sciencedirect.com/science/article/pii/S0967070X21001657","volume":"110","author":[{"family":"Takman","given":"Johanna"},{"family":"Andersson-Sköld","given":"Yvonne"}],"accessed":{"date-parts":[["2022",6,12]]},"issued":{"date-parts":[["2021",9,1]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rPr>
              <w:t>(Takman and Andersson-Sköld, 2021)</w:t>
            </w:r>
            <w:r w:rsidRPr="007E3AB4">
              <w:rPr>
                <w:rFonts w:cstheme="minorHAnsi"/>
                <w:szCs w:val="22"/>
                <w:lang w:val="en-GB"/>
              </w:rPr>
              <w:fldChar w:fldCharType="end"/>
            </w:r>
          </w:p>
        </w:tc>
        <w:tc>
          <w:tcPr>
            <w:tcW w:w="3041" w:type="dxa"/>
          </w:tcPr>
          <w:p w14:paraId="5C9B04FE" w14:textId="77777777"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 xml:space="preserve">Maintenance (SEK/Km): 2 </w:t>
            </w:r>
          </w:p>
          <w:p w14:paraId="421B64B5" w14:textId="77777777" w:rsidR="00000E8C" w:rsidRPr="007E3AB4" w:rsidRDefault="00000E8C" w:rsidP="00E20E52">
            <w:pPr>
              <w:pStyle w:val="ListParagraph"/>
              <w:numPr>
                <w:ilvl w:val="0"/>
                <w:numId w:val="9"/>
              </w:numPr>
              <w:spacing w:after="0" w:line="360" w:lineRule="auto"/>
              <w:jc w:val="both"/>
              <w:rPr>
                <w:rFonts w:cstheme="minorHAnsi"/>
                <w:szCs w:val="22"/>
                <w:lang w:val="en-GB"/>
              </w:rPr>
            </w:pPr>
            <w:r w:rsidRPr="007E3AB4">
              <w:rPr>
                <w:rFonts w:cstheme="minorHAnsi"/>
                <w:szCs w:val="22"/>
                <w:lang w:val="en-GB"/>
              </w:rPr>
              <w:t>LBG cost (SEK/Kg): 12</w:t>
            </w:r>
          </w:p>
          <w:p w14:paraId="2FF344D4" w14:textId="4E4A7C87" w:rsidR="00000E8C" w:rsidRPr="007E3AB4" w:rsidRDefault="00000E8C" w:rsidP="00E20E52">
            <w:pPr>
              <w:spacing w:after="0" w:line="360" w:lineRule="auto"/>
              <w:contextualSpacing/>
              <w:jc w:val="both"/>
              <w:rPr>
                <w:rFonts w:cstheme="minorHAnsi"/>
                <w:szCs w:val="22"/>
                <w:lang w:val="en-GB"/>
              </w:rPr>
            </w:pPr>
            <w:r w:rsidRPr="007E3AB4">
              <w:rPr>
                <w:rFonts w:cstheme="minorHAnsi"/>
                <w:szCs w:val="22"/>
                <w:lang w:val="en-GB"/>
              </w:rPr>
              <w:fldChar w:fldCharType="begin"/>
            </w:r>
            <w:r w:rsidR="003821FD">
              <w:rPr>
                <w:rFonts w:cstheme="minorHAnsi"/>
                <w:szCs w:val="22"/>
                <w:lang w:val="en-GB"/>
              </w:rPr>
              <w:instrText xml:space="preserve"> ADDIN ZOTERO_ITEM CSL_CITATION {"citationID":"PFZEWZCb","properties":{"formattedCitation":"(Takman and Andersson-Sk\\uc0\\u246{}ld, 2021)","plainCitation":"(Takman and Andersson-Sköld, 2021)","noteIndex":0},"citationItems":[{"id":17628,"uris":["http://zotero.org/groups/4571029/items/IFSPHYKW"],"itemData":{"id":17628,"type":"article-journal","abstract":"This study has developed and applied a framework to analyse barriers, opportunities, and potential solutions for the diffusion of alternative fuels, here exemplified by liquefied biogas (LBG) for heavy trucks. The study is based on expert and stakeholder interviews in Sweden. Also, the study estimates a cost example of using heavy duty LBG-trucks instead of conventional diesel trucks. The framework is based on two previously published frameworks to categorise barriers, opportunities, and potential solutions and comprises five categories: financial, technical/commercial/physical, policy, public acceptability, and market structure/interaction barriers. Each category considers both the system and actor levels. The results of this study fit the framework's categories well, and the framework is appropriate for analysing the diffusion of liquefied biogas for heavy trucks, and other technologies with similar characteristics. The results further indicate that a network level, in addition to the system and actor levels, could advance our understanding of renewable energy diffusion. The most mentioned opportunities were climate/environmental benefits, potential profitability, and newly introduced policies. The cost estimates show that given current taxes and policies in Sweden, the costs of using LBG-trucks are only marginally higher than those of using conventional diesel trucks. Commonly cited barriers were financial issues, an unstable policy context, lack of infrastructure, and lack of knowledge. Suggested solutions for overcoming barriers were financial incentives, a stable policy context, demonstration projects, and information campaigns. Improved knowledge and working together throughout the biogas value chain, with a palette of renewable energy options, are important for accelerating a sustainable renewable fuel diffusion. Several policy instruments that currently exists in Sweden already target the mentioned barriers. Thus, it is important to continuously evaluate policy instruments to understand if they are effective and efficient, or if anything need to be changed to reach the targets of the policy instrument.","container-title":"Transport Policy","DOI":"10.1016/j.tranpol.2021.05.021","ISSN":"0967-070X","journalAbbreviation":"Transport Policy","language":"en","page":"150-160","source":"ScienceDirect","title":"A framework for barriers, opportunities, and potential solutions for renewable energy diffusion: Exemplified by liquefied biogas for heavy trucks","title-short":"A framework for barriers, opportunities, and potential solutions for renewable energy diffusion","URL":"https://www.sciencedirect.com/science/article/pii/S0967070X21001657","volume":"110","author":[{"family":"Takman","given":"Johanna"},{"family":"Andersson-Sköld","given":"Yvonne"}],"accessed":{"date-parts":[["2022",6,12]]},"issued":{"date-parts":[["2021",9,1]]}}}],"schema":"https://github.com/citation-style-language/schema/raw/master/csl-citation.json"} </w:instrText>
            </w:r>
            <w:r w:rsidRPr="007E3AB4">
              <w:rPr>
                <w:rFonts w:cstheme="minorHAnsi"/>
                <w:szCs w:val="22"/>
                <w:lang w:val="en-GB"/>
              </w:rPr>
              <w:fldChar w:fldCharType="separate"/>
            </w:r>
            <w:r w:rsidR="003821FD" w:rsidRPr="003821FD">
              <w:rPr>
                <w:rFonts w:ascii="Calibri" w:hAnsi="Calibri" w:cs="Calibri"/>
              </w:rPr>
              <w:t>(Takman and Andersson-Sköld, 2021)</w:t>
            </w:r>
            <w:r w:rsidRPr="007E3AB4">
              <w:rPr>
                <w:rFonts w:cstheme="minorHAnsi"/>
                <w:szCs w:val="22"/>
                <w:lang w:val="en-GB"/>
              </w:rPr>
              <w:fldChar w:fldCharType="end"/>
            </w:r>
          </w:p>
        </w:tc>
      </w:tr>
    </w:tbl>
    <w:p w14:paraId="125F4C03" w14:textId="77777777" w:rsidR="00000E8C" w:rsidRPr="0013572E" w:rsidRDefault="00000E8C" w:rsidP="00E20E52">
      <w:pPr>
        <w:spacing w:after="0" w:line="360" w:lineRule="auto"/>
        <w:contextualSpacing/>
        <w:jc w:val="both"/>
        <w:rPr>
          <w:lang w:val="en-GB"/>
        </w:rPr>
      </w:pPr>
    </w:p>
    <w:p w14:paraId="6CF3D7D8" w14:textId="77777777" w:rsidR="00000E8C" w:rsidRPr="0013572E" w:rsidRDefault="00000E8C" w:rsidP="00E20E52">
      <w:pPr>
        <w:spacing w:after="0" w:line="360" w:lineRule="auto"/>
        <w:contextualSpacing/>
        <w:jc w:val="both"/>
        <w:rPr>
          <w:lang w:val="en-GB"/>
        </w:rPr>
      </w:pPr>
    </w:p>
    <w:p w14:paraId="7B030EA7" w14:textId="77777777" w:rsidR="00AF0AFB" w:rsidRPr="00F61229" w:rsidRDefault="00AF0AFB" w:rsidP="00E20E52">
      <w:pPr>
        <w:spacing w:after="0" w:line="360" w:lineRule="auto"/>
        <w:contextualSpacing/>
        <w:jc w:val="both"/>
        <w:rPr>
          <w:lang w:val="en-GB"/>
        </w:rPr>
      </w:pPr>
    </w:p>
    <w:sectPr w:rsidR="00AF0AFB" w:rsidRPr="00F61229" w:rsidSect="00000E8C">
      <w:pgSz w:w="16838" w:h="11906" w:orient="landscape"/>
      <w:pgMar w:top="1440" w:right="2625" w:bottom="1440" w:left="1440" w:header="646" w:footer="32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78ED1" w14:textId="77777777" w:rsidR="00ED6F81" w:rsidRDefault="00ED6F81" w:rsidP="004271D7">
      <w:pPr>
        <w:spacing w:after="0" w:line="240" w:lineRule="auto"/>
      </w:pPr>
      <w:r>
        <w:separator/>
      </w:r>
    </w:p>
  </w:endnote>
  <w:endnote w:type="continuationSeparator" w:id="0">
    <w:p w14:paraId="3C0BE834" w14:textId="77777777" w:rsidR="00ED6F81" w:rsidRDefault="00ED6F81" w:rsidP="004271D7">
      <w:pPr>
        <w:spacing w:after="0" w:line="240" w:lineRule="auto"/>
      </w:pPr>
      <w:r>
        <w:continuationSeparator/>
      </w:r>
    </w:p>
  </w:endnote>
  <w:endnote w:type="continuationNotice" w:id="1">
    <w:p w14:paraId="0662D8FC" w14:textId="77777777" w:rsidR="00ED6F81" w:rsidRDefault="00ED6F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 w:name="Minion Pro">
    <w:panose1 w:val="00000000000000000000"/>
    <w:charset w:val="00"/>
    <w:family w:val="roman"/>
    <w:notTrueType/>
    <w:pitch w:val="variable"/>
    <w:sig w:usb0="60000287" w:usb1="00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02110901"/>
      <w:docPartObj>
        <w:docPartGallery w:val="Page Numbers (Bottom of Page)"/>
        <w:docPartUnique/>
      </w:docPartObj>
    </w:sdtPr>
    <w:sdtEndPr>
      <w:rPr>
        <w:rStyle w:val="PageNumber"/>
      </w:rPr>
    </w:sdtEndPr>
    <w:sdtContent>
      <w:p w14:paraId="1B53379D" w14:textId="77777777" w:rsidR="00CB6DD8" w:rsidRDefault="00CB6DD8" w:rsidP="00E649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892F71" w14:textId="77777777" w:rsidR="00CB6DD8" w:rsidRDefault="00CB6DD8" w:rsidP="00CB6DD8">
    <w:pPr>
      <w:pStyle w:val="Footer"/>
      <w:ind w:right="360"/>
    </w:pPr>
  </w:p>
  <w:p w14:paraId="443AD18C" w14:textId="77777777" w:rsidR="006770EC" w:rsidRDefault="006770E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9874045"/>
      <w:docPartObj>
        <w:docPartGallery w:val="Page Numbers (Bottom of Page)"/>
        <w:docPartUnique/>
      </w:docPartObj>
    </w:sdtPr>
    <w:sdtEndPr>
      <w:rPr>
        <w:rStyle w:val="PageNumber"/>
      </w:rPr>
    </w:sdtEndPr>
    <w:sdtContent>
      <w:p w14:paraId="1786C697" w14:textId="77777777" w:rsidR="00CB6DD8" w:rsidRDefault="00CB6DD8" w:rsidP="00CB6DD8">
        <w:pPr>
          <w:pStyle w:val="Footer"/>
          <w:framePr w:wrap="none" w:vAnchor="text" w:hAnchor="margin" w:xAlign="right" w:y="-159"/>
          <w:rPr>
            <w:rStyle w:val="PageNumber"/>
          </w:rPr>
        </w:pPr>
        <w:r w:rsidRPr="00CB6DD8">
          <w:fldChar w:fldCharType="begin"/>
        </w:r>
        <w:r w:rsidRPr="00CB6DD8">
          <w:instrText xml:space="preserve"> PAGE </w:instrText>
        </w:r>
        <w:r w:rsidRPr="00CB6DD8">
          <w:fldChar w:fldCharType="separate"/>
        </w:r>
        <w:r w:rsidRPr="00CB6DD8">
          <w:t>2</w:t>
        </w:r>
        <w:r w:rsidRPr="00CB6DD8">
          <w:fldChar w:fldCharType="end"/>
        </w:r>
      </w:p>
    </w:sdtContent>
  </w:sdt>
  <w:p w14:paraId="287D3EBD" w14:textId="77777777" w:rsidR="00CB6DD8" w:rsidRDefault="00CB6DD8" w:rsidP="00CB6DD8">
    <w:pPr>
      <w:pStyle w:val="Footer"/>
      <w:ind w:right="360"/>
    </w:pPr>
    <w:r>
      <w:rPr>
        <w:noProof/>
      </w:rPr>
      <mc:AlternateContent>
        <mc:Choice Requires="wps">
          <w:drawing>
            <wp:anchor distT="0" distB="0" distL="114300" distR="114300" simplePos="0" relativeHeight="251658240" behindDoc="0" locked="0" layoutInCell="1" allowOverlap="1" wp14:anchorId="7244B307" wp14:editId="5094F9D2">
              <wp:simplePos x="0" y="0"/>
              <wp:positionH relativeFrom="column">
                <wp:posOffset>-35560</wp:posOffset>
              </wp:positionH>
              <wp:positionV relativeFrom="paragraph">
                <wp:posOffset>-241300</wp:posOffset>
              </wp:positionV>
              <wp:extent cx="5763260" cy="0"/>
              <wp:effectExtent l="0" t="0" r="15240" b="12700"/>
              <wp:wrapNone/>
              <wp:docPr id="4" name="Straight Connector 4"/>
              <wp:cNvGraphicFramePr/>
              <a:graphic xmlns:a="http://schemas.openxmlformats.org/drawingml/2006/main">
                <a:graphicData uri="http://schemas.microsoft.com/office/word/2010/wordprocessingShape">
                  <wps:wsp>
                    <wps:cNvCnPr/>
                    <wps:spPr>
                      <a:xfrm>
                        <a:off x="0" y="0"/>
                        <a:ext cx="5763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25E30370" id="Straight Connector 4"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19pt" to="45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" strokecolor="#00a87e [3204]" strokeweight=".5pt">
              <v:stroke joinstyle="miter"/>
            </v:line>
          </w:pict>
        </mc:Fallback>
      </mc:AlternateContent>
    </w:r>
    <w:r>
      <w:rPr>
        <w:noProof/>
      </w:rPr>
      <mc:AlternateContent>
        <mc:Choice Requires="wps">
          <w:drawing>
            <wp:anchor distT="0" distB="0" distL="114300" distR="114300" simplePos="0" relativeHeight="251658241" behindDoc="0" locked="0" layoutInCell="1" allowOverlap="1" wp14:anchorId="7E40C4E0" wp14:editId="15CDD28B">
              <wp:simplePos x="0" y="0"/>
              <wp:positionH relativeFrom="column">
                <wp:posOffset>-31445</wp:posOffset>
              </wp:positionH>
              <wp:positionV relativeFrom="paragraph">
                <wp:posOffset>-151130</wp:posOffset>
              </wp:positionV>
              <wp:extent cx="3165231" cy="269631"/>
              <wp:effectExtent l="0" t="0" r="0" b="0"/>
              <wp:wrapNone/>
              <wp:docPr id="6" name="Text Box 6"/>
              <wp:cNvGraphicFramePr/>
              <a:graphic xmlns:a="http://schemas.openxmlformats.org/drawingml/2006/main">
                <a:graphicData uri="http://schemas.microsoft.com/office/word/2010/wordprocessingShape">
                  <wps:wsp>
                    <wps:cNvSpPr txBox="1"/>
                    <wps:spPr>
                      <a:xfrm>
                        <a:off x="0" y="0"/>
                        <a:ext cx="3165231" cy="269631"/>
                      </a:xfrm>
                      <a:prstGeom prst="rect">
                        <a:avLst/>
                      </a:prstGeom>
                      <a:noFill/>
                      <a:ln w="6350">
                        <a:noFill/>
                      </a:ln>
                    </wps:spPr>
                    <wps:txbx>
                      <w:txbxContent>
                        <w:p w14:paraId="26210236" w14:textId="77777777" w:rsidR="00CB6DD8" w:rsidRPr="00CB6DD8" w:rsidRDefault="00F61229">
                          <w:pPr>
                            <w:rPr>
                              <w:b/>
                              <w:bCs/>
                              <w:color w:val="00A87E" w:themeColor="accent1"/>
                              <w:sz w:val="18"/>
                              <w:szCs w:val="18"/>
                            </w:rPr>
                          </w:pPr>
                          <w:r w:rsidRPr="00F61229">
                            <w:rPr>
                              <w:b/>
                              <w:bCs/>
                              <w:color w:val="00A87E" w:themeColor="accent1"/>
                              <w:sz w:val="18"/>
                              <w:szCs w:val="18"/>
                            </w:rPr>
                            <w:t>en.viablecities.se</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anchor>
          </w:drawing>
        </mc:Choice>
        <mc:Fallback>
          <w:pict>
            <v:shapetype w14:anchorId="7E40C4E0" id="_x0000_t202" coordsize="21600,21600" o:spt="202" path="m,l,21600r21600,l21600,xe">
              <v:stroke joinstyle="miter"/>
              <v:path gradientshapeok="t" o:connecttype="rect"/>
            </v:shapetype>
            <v:shape id="Text Box 6" o:spid="_x0000_s1037" type="#_x0000_t202" style="position:absolute;margin-left:-2.5pt;margin-top:-11.9pt;width:249.25pt;height:21.2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anrGAIAAC8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" filled="f" stroked="f" strokeweight=".5pt">
              <v:textbox inset="0">
                <w:txbxContent>
                  <w:p w14:paraId="26210236" w14:textId="77777777" w:rsidR="00CB6DD8" w:rsidRPr="00CB6DD8" w:rsidRDefault="00F61229">
                    <w:pPr>
                      <w:rPr>
                        <w:b/>
                        <w:bCs/>
                        <w:color w:val="00A87E" w:themeColor="accent1"/>
                        <w:sz w:val="18"/>
                        <w:szCs w:val="18"/>
                      </w:rPr>
                    </w:pPr>
                    <w:r w:rsidRPr="00F61229">
                      <w:rPr>
                        <w:b/>
                        <w:bCs/>
                        <w:color w:val="00A87E" w:themeColor="accent1"/>
                        <w:sz w:val="18"/>
                        <w:szCs w:val="18"/>
                      </w:rPr>
                      <w:t>en.viablecities.se</w:t>
                    </w:r>
                  </w:p>
                </w:txbxContent>
              </v:textbox>
            </v:shape>
          </w:pict>
        </mc:Fallback>
      </mc:AlternateContent>
    </w:r>
  </w:p>
  <w:p w14:paraId="4411DB79" w14:textId="77777777" w:rsidR="006770EC" w:rsidRDefault="006770E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3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5"/>
      <w:gridCol w:w="1875"/>
      <w:gridCol w:w="1874"/>
      <w:gridCol w:w="1874"/>
      <w:gridCol w:w="1874"/>
    </w:tblGrid>
    <w:tr w:rsidR="004271D7" w:rsidRPr="004271D7" w14:paraId="0E214341" w14:textId="77777777" w:rsidTr="00E649DA">
      <w:trPr>
        <w:trHeight w:val="271"/>
        <w:jc w:val="center"/>
      </w:trPr>
      <w:tc>
        <w:tcPr>
          <w:tcW w:w="0" w:type="auto"/>
        </w:tcPr>
        <w:p w14:paraId="433F4761" w14:textId="77777777" w:rsidR="004271D7" w:rsidRPr="004271D7" w:rsidRDefault="004271D7" w:rsidP="004271D7">
          <w:pPr>
            <w:pStyle w:val="Footer"/>
            <w:rPr>
              <w:b/>
              <w:bCs/>
              <w:color w:val="00A87E" w:themeColor="accent1"/>
              <w:sz w:val="20"/>
              <w:szCs w:val="20"/>
            </w:rPr>
          </w:pPr>
        </w:p>
      </w:tc>
      <w:tc>
        <w:tcPr>
          <w:tcW w:w="0" w:type="auto"/>
        </w:tcPr>
        <w:p w14:paraId="6DA23E2F" w14:textId="77777777" w:rsidR="004271D7" w:rsidRPr="004271D7" w:rsidRDefault="004271D7" w:rsidP="004271D7">
          <w:pPr>
            <w:pStyle w:val="Footer"/>
            <w:rPr>
              <w:b/>
              <w:bCs/>
              <w:color w:val="00A87E" w:themeColor="accent1"/>
              <w:sz w:val="20"/>
              <w:szCs w:val="20"/>
            </w:rPr>
          </w:pPr>
        </w:p>
      </w:tc>
      <w:tc>
        <w:tcPr>
          <w:tcW w:w="0" w:type="auto"/>
        </w:tcPr>
        <w:p w14:paraId="04388B23" w14:textId="77777777" w:rsidR="004271D7" w:rsidRPr="004271D7" w:rsidRDefault="004271D7" w:rsidP="004271D7">
          <w:pPr>
            <w:pStyle w:val="Footer"/>
            <w:rPr>
              <w:b/>
              <w:bCs/>
              <w:color w:val="00A87E" w:themeColor="accent1"/>
              <w:sz w:val="20"/>
              <w:szCs w:val="20"/>
            </w:rPr>
          </w:pPr>
        </w:p>
      </w:tc>
      <w:tc>
        <w:tcPr>
          <w:tcW w:w="0" w:type="auto"/>
        </w:tcPr>
        <w:p w14:paraId="083E6D26" w14:textId="77777777" w:rsidR="004271D7" w:rsidRPr="004271D7" w:rsidRDefault="004271D7" w:rsidP="004271D7">
          <w:pPr>
            <w:pStyle w:val="Footer"/>
            <w:rPr>
              <w:b/>
              <w:bCs/>
              <w:color w:val="00A87E" w:themeColor="accent1"/>
              <w:sz w:val="20"/>
              <w:szCs w:val="20"/>
            </w:rPr>
          </w:pPr>
        </w:p>
      </w:tc>
      <w:tc>
        <w:tcPr>
          <w:tcW w:w="0" w:type="auto"/>
        </w:tcPr>
        <w:p w14:paraId="5DEDFD74" w14:textId="77777777" w:rsidR="004271D7" w:rsidRPr="004271D7" w:rsidRDefault="004271D7" w:rsidP="004271D7">
          <w:pPr>
            <w:pStyle w:val="Footer"/>
            <w:jc w:val="right"/>
            <w:rPr>
              <w:b/>
              <w:bCs/>
              <w:color w:val="00A87E" w:themeColor="accent1"/>
              <w:sz w:val="20"/>
              <w:szCs w:val="20"/>
              <w:lang w:val="en-US"/>
            </w:rPr>
          </w:pPr>
        </w:p>
      </w:tc>
    </w:tr>
  </w:tbl>
  <w:p w14:paraId="2D1DCE9C" w14:textId="77777777" w:rsidR="004271D7" w:rsidRPr="004271D7" w:rsidRDefault="004271D7" w:rsidP="004271D7">
    <w:pPr>
      <w:pStyle w:val="Footer"/>
      <w:rPr>
        <w:b/>
        <w:bCs/>
        <w:color w:val="00A87E"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B55DB" w14:textId="77777777" w:rsidR="00ED6F81" w:rsidRPr="00E940DE" w:rsidRDefault="00ED6F81" w:rsidP="00E940DE">
      <w:pPr>
        <w:pStyle w:val="Footer"/>
      </w:pPr>
    </w:p>
  </w:footnote>
  <w:footnote w:type="continuationSeparator" w:id="0">
    <w:p w14:paraId="28E01BF9" w14:textId="77777777" w:rsidR="00ED6F81" w:rsidRDefault="00ED6F81" w:rsidP="004271D7">
      <w:pPr>
        <w:spacing w:after="0" w:line="240" w:lineRule="auto"/>
      </w:pPr>
      <w:r>
        <w:continuationSeparator/>
      </w:r>
    </w:p>
  </w:footnote>
  <w:footnote w:type="continuationNotice" w:id="1">
    <w:p w14:paraId="1F048633" w14:textId="77777777" w:rsidR="00ED6F81" w:rsidRDefault="00ED6F81">
      <w:pPr>
        <w:spacing w:after="0" w:line="240" w:lineRule="auto"/>
      </w:pPr>
    </w:p>
  </w:footnote>
  <w:footnote w:id="2">
    <w:p w14:paraId="0BCA6CEA" w14:textId="1D1789F6" w:rsidR="000C1010" w:rsidRPr="000C1010" w:rsidRDefault="000C1010" w:rsidP="00A51E5E">
      <w:pPr>
        <w:spacing w:after="0" w:line="240" w:lineRule="auto"/>
        <w:jc w:val="both"/>
        <w:rPr>
          <w:lang w:val="en-GB"/>
        </w:rPr>
      </w:pPr>
      <w:r>
        <w:rPr>
          <w:rStyle w:val="FootnoteReference"/>
        </w:rPr>
        <w:footnoteRef/>
      </w:r>
      <w:r w:rsidRPr="000C1010">
        <w:rPr>
          <w:lang w:val="en-US"/>
        </w:rPr>
        <w:t xml:space="preserve"> </w:t>
      </w:r>
      <w:r>
        <w:rPr>
          <w:lang w:val="en-US"/>
        </w:rPr>
        <w:t>In a next iteration</w:t>
      </w:r>
      <w:r w:rsidR="00835345">
        <w:rPr>
          <w:lang w:val="en-US"/>
        </w:rPr>
        <w:t xml:space="preserve"> of the dashboard</w:t>
      </w:r>
      <w:r>
        <w:rPr>
          <w:lang w:val="en-US"/>
        </w:rPr>
        <w:t xml:space="preserve">, </w:t>
      </w:r>
      <w:r w:rsidR="00835345">
        <w:rPr>
          <w:lang w:val="en-US"/>
        </w:rPr>
        <w:t xml:space="preserve">updated assumptions will lead to automatically updated calculations. Now, </w:t>
      </w:r>
      <w:r w:rsidRPr="000C1010">
        <w:rPr>
          <w:lang w:val="en-GB"/>
        </w:rPr>
        <w:t>the data is only stored in a database with the modelling team</w:t>
      </w:r>
      <w:r w:rsidR="00835345">
        <w:rPr>
          <w:lang w:val="en-GB"/>
        </w:rPr>
        <w:t xml:space="preserve">. Users can also </w:t>
      </w:r>
      <w:r w:rsidRPr="000C1010">
        <w:rPr>
          <w:lang w:val="en-GB"/>
        </w:rPr>
        <w:t>fill in their data</w:t>
      </w:r>
      <w:r w:rsidR="00835345">
        <w:rPr>
          <w:lang w:val="en-GB"/>
        </w:rPr>
        <w:t xml:space="preserve"> in an excel</w:t>
      </w:r>
      <w:r w:rsidRPr="000C1010">
        <w:rPr>
          <w:lang w:val="en-GB"/>
        </w:rPr>
        <w:t xml:space="preserve"> and share it </w:t>
      </w:r>
      <w:r w:rsidR="00835345">
        <w:rPr>
          <w:lang w:val="en-GB"/>
        </w:rPr>
        <w:t xml:space="preserve">with the modelling team </w:t>
      </w:r>
      <w:r w:rsidRPr="000C1010">
        <w:rPr>
          <w:lang w:val="en-GB"/>
        </w:rPr>
        <w:t>by email</w:t>
      </w:r>
      <w:r w:rsidR="00835345">
        <w:rPr>
          <w:lang w:val="en-GB"/>
        </w:rPr>
        <w:t>.</w:t>
      </w:r>
    </w:p>
  </w:footnote>
  <w:footnote w:id="3">
    <w:p w14:paraId="6163F571" w14:textId="48FDBEB4" w:rsidR="00FC3300" w:rsidRPr="00D15F7B" w:rsidRDefault="00FC3300" w:rsidP="00A51E5E">
      <w:pPr>
        <w:pStyle w:val="FootnoteText"/>
        <w:jc w:val="both"/>
        <w:rPr>
          <w:lang w:val="en-GB"/>
        </w:rPr>
      </w:pPr>
      <w:r>
        <w:rPr>
          <w:rStyle w:val="FootnoteReference"/>
        </w:rPr>
        <w:footnoteRef/>
      </w:r>
      <w:r w:rsidRPr="00D15F7B">
        <w:rPr>
          <w:lang w:val="en-GB"/>
        </w:rPr>
        <w:t xml:space="preserve"> In fact, 2021 is used as the baseline year, so the linear </w:t>
      </w:r>
      <w:r w:rsidR="00A51E5E">
        <w:rPr>
          <w:lang w:val="en-GB"/>
        </w:rPr>
        <w:t>interpolation</w:t>
      </w:r>
      <w:r w:rsidRPr="00D15F7B">
        <w:rPr>
          <w:lang w:val="en-GB"/>
        </w:rPr>
        <w:t xml:space="preserve"> happens wit</w:t>
      </w:r>
      <w:r w:rsidR="00A51E5E">
        <w:rPr>
          <w:lang w:val="en-GB"/>
        </w:rPr>
        <w:t>h</w:t>
      </w:r>
      <w:r w:rsidRPr="00D15F7B">
        <w:rPr>
          <w:lang w:val="en-GB"/>
        </w:rPr>
        <w:t xml:space="preserve"> 2,2% per year from 2022-2030. Please note that as 2021 baseline year is used meaning that actions already taken should be included to get an accurate representation of emissions by 2030. For actions not yet taken, a later start year of action can be specified in the dashboard to get an accurate representation of the impact on emissions and costs.</w:t>
      </w:r>
    </w:p>
  </w:footnote>
  <w:footnote w:id="4">
    <w:p w14:paraId="28DF6012" w14:textId="48445F03" w:rsidR="00144B16" w:rsidRPr="00D15F7B" w:rsidRDefault="00144B16" w:rsidP="00A51E5E">
      <w:pPr>
        <w:pStyle w:val="FootnoteText"/>
        <w:jc w:val="both"/>
        <w:rPr>
          <w:lang w:val="en-GB"/>
        </w:rPr>
      </w:pPr>
      <w:r>
        <w:rPr>
          <w:rStyle w:val="FootnoteReference"/>
        </w:rPr>
        <w:footnoteRef/>
      </w:r>
      <w:r w:rsidRPr="00D15F7B">
        <w:rPr>
          <w:lang w:val="en-GB"/>
        </w:rPr>
        <w:t xml:space="preserve"> This simplification is also a limitation of the model. If e.g.</w:t>
      </w:r>
      <w:r w:rsidR="00A51E5E">
        <w:rPr>
          <w:lang w:val="en-GB"/>
        </w:rPr>
        <w:t>,</w:t>
      </w:r>
      <w:r w:rsidRPr="00D15F7B">
        <w:rPr>
          <w:lang w:val="en-GB"/>
        </w:rPr>
        <w:t xml:space="preserve"> the municipality’s steel production will switch suddenly in 2027 to being fuelled completely by green hydrogen, and the start year is specified to 2027 with 100% green hydrogen in the lever, the impact is still expected to be gradually implemented linearly between 2027-2030. Please reach out to us if this causes you significant impacts and we can consider making this more </w:t>
      </w:r>
      <w:proofErr w:type="gramStart"/>
      <w:r w:rsidRPr="00D15F7B">
        <w:rPr>
          <w:lang w:val="en-GB"/>
        </w:rPr>
        <w:t>detailed, or</w:t>
      </w:r>
      <w:proofErr w:type="gramEnd"/>
      <w:r w:rsidRPr="00D15F7B">
        <w:rPr>
          <w:lang w:val="en-GB"/>
        </w:rPr>
        <w:t xml:space="preserve"> suggest </w:t>
      </w:r>
      <w:r w:rsidR="00A51E5E">
        <w:rPr>
          <w:lang w:val="en-GB"/>
        </w:rPr>
        <w:t>workarounds</w:t>
      </w:r>
      <w:r w:rsidRPr="00D15F7B">
        <w:rPr>
          <w:lang w:val="en-GB"/>
        </w:rPr>
        <w:t>.</w:t>
      </w:r>
    </w:p>
  </w:footnote>
  <w:footnote w:id="5">
    <w:p w14:paraId="59E6E63E" w14:textId="6DE16E78" w:rsidR="006702D1" w:rsidRPr="00D15F7B" w:rsidRDefault="006702D1" w:rsidP="00A51E5E">
      <w:pPr>
        <w:pStyle w:val="FootnoteText"/>
        <w:jc w:val="both"/>
        <w:rPr>
          <w:lang w:val="en-GB"/>
        </w:rPr>
      </w:pPr>
      <w:r>
        <w:rPr>
          <w:rStyle w:val="FootnoteReference"/>
        </w:rPr>
        <w:footnoteRef/>
      </w:r>
      <w:r w:rsidRPr="00D15F7B">
        <w:rPr>
          <w:lang w:val="en-GB"/>
        </w:rPr>
        <w:t xml:space="preserve"> As with many other assumptions, the user is always welcome to reach out to us if they want more flexibility. Some changes are easier to make (</w:t>
      </w:r>
      <w:proofErr w:type="gramStart"/>
      <w:r w:rsidRPr="00D15F7B">
        <w:rPr>
          <w:lang w:val="en-GB"/>
        </w:rPr>
        <w:t>e.g.</w:t>
      </w:r>
      <w:proofErr w:type="gramEnd"/>
      <w:r w:rsidRPr="00D15F7B">
        <w:rPr>
          <w:lang w:val="en-GB"/>
        </w:rPr>
        <w:t xml:space="preserve"> specifying in more detail the cost distribution between different actors). Our intention has been to balance </w:t>
      </w:r>
      <w:r w:rsidR="0005120A" w:rsidRPr="00D15F7B">
        <w:rPr>
          <w:lang w:val="en-GB"/>
        </w:rPr>
        <w:t>ease</w:t>
      </w:r>
      <w:r w:rsidRPr="00D15F7B">
        <w:rPr>
          <w:lang w:val="en-GB"/>
        </w:rPr>
        <w:t xml:space="preserve"> of use with flexibility.</w:t>
      </w:r>
    </w:p>
  </w:footnote>
  <w:footnote w:id="6">
    <w:p w14:paraId="6A27DBA3" w14:textId="5A4AF429" w:rsidR="00B86990" w:rsidRPr="00B86990" w:rsidRDefault="00B86990">
      <w:pPr>
        <w:pStyle w:val="FootnoteText"/>
        <w:rPr>
          <w:lang w:val="en-GB"/>
        </w:rPr>
      </w:pPr>
      <w:r>
        <w:rPr>
          <w:rStyle w:val="FootnoteReference"/>
        </w:rPr>
        <w:footnoteRef/>
      </w:r>
      <w:r w:rsidRPr="00B86990">
        <w:rPr>
          <w:lang w:val="en-GB"/>
        </w:rPr>
        <w:t xml:space="preserve"> </w:t>
      </w:r>
      <w:r>
        <w:rPr>
          <w:lang w:val="en-GB"/>
        </w:rPr>
        <w:t xml:space="preserve">The below is based on a quick internal SEI analysis. We are currently working on aligning these with the more elaborate scenarios </w:t>
      </w:r>
      <w:r w:rsidR="00881087">
        <w:rPr>
          <w:lang w:val="en-GB"/>
        </w:rPr>
        <w:t xml:space="preserve">by </w:t>
      </w:r>
      <w:hyperlink r:id="rId1" w:history="1">
        <w:proofErr w:type="spellStart"/>
        <w:r w:rsidR="00881087" w:rsidRPr="00881087">
          <w:rPr>
            <w:rStyle w:val="Hyperlink"/>
            <w:lang w:val="en-GB"/>
          </w:rPr>
          <w:t>Naturvårdsverket</w:t>
        </w:r>
        <w:proofErr w:type="spellEnd"/>
      </w:hyperlink>
      <w:r w:rsidR="00881087">
        <w:rPr>
          <w:lang w:val="en-GB"/>
        </w:rPr>
        <w:t>.</w:t>
      </w:r>
    </w:p>
  </w:footnote>
  <w:footnote w:id="7">
    <w:p w14:paraId="58D46CE0" w14:textId="491B76A2" w:rsidR="008550F3" w:rsidRPr="001E04AD" w:rsidRDefault="008550F3" w:rsidP="00A51E5E">
      <w:pPr>
        <w:pStyle w:val="FootnoteText"/>
        <w:jc w:val="both"/>
        <w:rPr>
          <w:lang w:val="en-GB"/>
        </w:rPr>
      </w:pPr>
      <w:r>
        <w:rPr>
          <w:rStyle w:val="FootnoteReference"/>
        </w:rPr>
        <w:footnoteRef/>
      </w:r>
      <w:r w:rsidRPr="001E04AD">
        <w:rPr>
          <w:lang w:val="en-GB"/>
        </w:rPr>
        <w:t xml:space="preserve"> </w:t>
      </w:r>
      <w:r>
        <w:rPr>
          <w:lang w:val="en-US"/>
        </w:rPr>
        <w:t>This assumption is rather sensitive as it varies by large factors across Sweden. We encourage anyone with good data availability across the country to share that data with us so that we can refine this data point.</w:t>
      </w:r>
    </w:p>
  </w:footnote>
  <w:footnote w:id="8">
    <w:p w14:paraId="0769C6A0" w14:textId="77777777" w:rsidR="005914F8" w:rsidRPr="001E04AD" w:rsidRDefault="005914F8" w:rsidP="00A51E5E">
      <w:pPr>
        <w:pStyle w:val="FootnoteText"/>
        <w:jc w:val="both"/>
        <w:rPr>
          <w:lang w:val="en-GB"/>
        </w:rPr>
      </w:pPr>
      <w:r>
        <w:rPr>
          <w:rStyle w:val="FootnoteReference"/>
        </w:rPr>
        <w:footnoteRef/>
      </w:r>
      <w:r w:rsidRPr="001E04AD">
        <w:rPr>
          <w:lang w:val="en-GB"/>
        </w:rPr>
        <w:t xml:space="preserve"> </w:t>
      </w:r>
      <w:r>
        <w:rPr>
          <w:rStyle w:val="hgkelc"/>
          <w:lang w:val="en-US"/>
        </w:rPr>
        <w:t xml:space="preserve">Important that the cost is related to a unit for which there is data for all municipalities in Sweden, </w:t>
      </w:r>
      <w:proofErr w:type="gramStart"/>
      <w:r>
        <w:rPr>
          <w:rStyle w:val="hgkelc"/>
          <w:lang w:val="en-US"/>
        </w:rPr>
        <w:t>e.g.</w:t>
      </w:r>
      <w:proofErr w:type="gramEnd"/>
      <w:r>
        <w:rPr>
          <w:rStyle w:val="hgkelc"/>
          <w:lang w:val="en-US"/>
        </w:rPr>
        <w:t xml:space="preserve"> emissions, number of vehicles etc.</w:t>
      </w:r>
    </w:p>
  </w:footnote>
  <w:footnote w:id="9">
    <w:p w14:paraId="3244F70F" w14:textId="77777777" w:rsidR="00AF027E" w:rsidRDefault="00AF027E" w:rsidP="00AF027E">
      <w:pPr>
        <w:pStyle w:val="FootnoteText"/>
        <w:rPr>
          <w:lang w:val="en-GB"/>
        </w:rPr>
      </w:pPr>
      <w:r>
        <w:rPr>
          <w:rStyle w:val="FootnoteReference"/>
        </w:rPr>
        <w:footnoteRef/>
      </w:r>
      <w:r w:rsidRPr="009F4AD3">
        <w:rPr>
          <w:lang w:val="en-GB"/>
        </w:rPr>
        <w:t xml:space="preserve"> To view the downloaded data i</w:t>
      </w:r>
      <w:r>
        <w:rPr>
          <w:lang w:val="en-GB"/>
        </w:rPr>
        <w:t>n Excel format, please follow the following steps:</w:t>
      </w:r>
    </w:p>
    <w:p w14:paraId="1AC6CDD9" w14:textId="77777777" w:rsidR="00AF027E" w:rsidRDefault="00AF027E" w:rsidP="00AF027E">
      <w:pPr>
        <w:pStyle w:val="FootnoteText"/>
        <w:numPr>
          <w:ilvl w:val="0"/>
          <w:numId w:val="13"/>
        </w:numPr>
        <w:rPr>
          <w:lang w:val="en-GB"/>
        </w:rPr>
      </w:pPr>
      <w:r>
        <w:rPr>
          <w:lang w:val="en-GB"/>
        </w:rPr>
        <w:t>Select column A</w:t>
      </w:r>
    </w:p>
    <w:p w14:paraId="57D3B7AD" w14:textId="77777777" w:rsidR="00AF027E" w:rsidRDefault="00AF027E" w:rsidP="00AF027E">
      <w:pPr>
        <w:pStyle w:val="FootnoteText"/>
        <w:numPr>
          <w:ilvl w:val="0"/>
          <w:numId w:val="13"/>
        </w:numPr>
        <w:rPr>
          <w:lang w:val="en-GB"/>
        </w:rPr>
      </w:pPr>
      <w:r>
        <w:rPr>
          <w:lang w:val="en-GB"/>
        </w:rPr>
        <w:t xml:space="preserve">Click “Data” and then “Text to </w:t>
      </w:r>
      <w:proofErr w:type="gramStart"/>
      <w:r>
        <w:rPr>
          <w:lang w:val="en-GB"/>
        </w:rPr>
        <w:t>Columns”</w:t>
      </w:r>
      <w:proofErr w:type="gramEnd"/>
    </w:p>
    <w:p w14:paraId="703A4A60" w14:textId="77777777" w:rsidR="00AF027E" w:rsidRPr="009F4AD3" w:rsidRDefault="00AF027E" w:rsidP="00AF027E">
      <w:pPr>
        <w:pStyle w:val="FootnoteText"/>
        <w:numPr>
          <w:ilvl w:val="0"/>
          <w:numId w:val="13"/>
        </w:numPr>
        <w:rPr>
          <w:lang w:val="en-GB"/>
        </w:rPr>
      </w:pPr>
      <w:r>
        <w:rPr>
          <w:lang w:val="en-GB"/>
        </w:rPr>
        <w:t>Click “Next”, then unclick “Tab” and click “Comma” before clicking “Next” and “</w:t>
      </w:r>
      <w:proofErr w:type="gramStart"/>
      <w:r>
        <w:rPr>
          <w:lang w:val="en-GB"/>
        </w:rPr>
        <w:t>Finish”</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81415" w14:textId="77777777" w:rsidR="00291927" w:rsidRDefault="002919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2E70A" w14:textId="77777777" w:rsidR="00CB6DD8" w:rsidRDefault="00CB6DD8">
    <w:pPr>
      <w:pStyle w:val="Header"/>
    </w:pPr>
    <w:r>
      <w:rPr>
        <w:noProof/>
      </w:rPr>
      <mc:AlternateContent>
        <mc:Choice Requires="wps">
          <w:drawing>
            <wp:anchor distT="0" distB="0" distL="114300" distR="114300" simplePos="0" relativeHeight="251658242" behindDoc="0" locked="0" layoutInCell="1" allowOverlap="1" wp14:anchorId="19F85DB1" wp14:editId="682F1BA7">
              <wp:simplePos x="0" y="0"/>
              <wp:positionH relativeFrom="column">
                <wp:posOffset>-30145</wp:posOffset>
              </wp:positionH>
              <wp:positionV relativeFrom="paragraph">
                <wp:posOffset>12644</wp:posOffset>
              </wp:positionV>
              <wp:extent cx="4391130" cy="508635"/>
              <wp:effectExtent l="0" t="0" r="3175" b="0"/>
              <wp:wrapNone/>
              <wp:docPr id="7" name="Text Box 7"/>
              <wp:cNvGraphicFramePr/>
              <a:graphic xmlns:a="http://schemas.openxmlformats.org/drawingml/2006/main">
                <a:graphicData uri="http://schemas.microsoft.com/office/word/2010/wordprocessingShape">
                  <wps:wsp>
                    <wps:cNvSpPr txBox="1"/>
                    <wps:spPr>
                      <a:xfrm>
                        <a:off x="0" y="0"/>
                        <a:ext cx="4391130" cy="508635"/>
                      </a:xfrm>
                      <a:prstGeom prst="rect">
                        <a:avLst/>
                      </a:prstGeom>
                      <a:noFill/>
                      <a:ln w="6350">
                        <a:noFill/>
                      </a:ln>
                    </wps:spPr>
                    <wps:txbx>
                      <w:txbxContent>
                        <w:p w14:paraId="3026BBDA" w14:textId="77777777" w:rsidR="00CB6DD8" w:rsidRDefault="00CB6DD8">
                          <w:r>
                            <w:rPr>
                              <w:noProof/>
                            </w:rPr>
                            <w:drawing>
                              <wp:inline distT="0" distB="0" distL="0" distR="0" wp14:anchorId="5CD7D61C" wp14:editId="5F3DD39A">
                                <wp:extent cx="372839" cy="508893"/>
                                <wp:effectExtent l="0" t="0" r="0" b="0"/>
                                <wp:docPr id="1975014024" name="Picture 19750140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390839" cy="53346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F85DB1" id="_x0000_t202" coordsize="21600,21600" o:spt="202" path="m,l,21600r21600,l21600,xe">
              <v:stroke joinstyle="miter"/>
              <v:path gradientshapeok="t" o:connecttype="rect"/>
            </v:shapetype>
            <v:shape id="Text Box 7" o:spid="_x0000_s1036" type="#_x0000_t202" style="position:absolute;margin-left:-2.35pt;margin-top:1pt;width:345.75pt;height:40.0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" filled="f" stroked="f" strokeweight=".5pt">
              <v:textbox inset="0,0,0,0">
                <w:txbxContent>
                  <w:p w14:paraId="3026BBDA" w14:textId="77777777" w:rsidR="00CB6DD8" w:rsidRDefault="00CB6DD8">
                    <w:r>
                      <w:rPr>
                        <w:noProof/>
                      </w:rPr>
                      <w:drawing>
                        <wp:inline distT="0" distB="0" distL="0" distR="0" wp14:anchorId="5CD7D61C" wp14:editId="5F3DD39A">
                          <wp:extent cx="372839" cy="508893"/>
                          <wp:effectExtent l="0" t="0" r="0" b="0"/>
                          <wp:docPr id="1975014024" name="Picture 19750140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390839" cy="533461"/>
                                  </a:xfrm>
                                  <a:prstGeom prst="rect">
                                    <a:avLst/>
                                  </a:prstGeom>
                                </pic:spPr>
                              </pic:pic>
                            </a:graphicData>
                          </a:graphic>
                        </wp:inline>
                      </w:drawing>
                    </w:r>
                  </w:p>
                </w:txbxContent>
              </v:textbox>
            </v:shape>
          </w:pict>
        </mc:Fallback>
      </mc:AlternateContent>
    </w:r>
  </w:p>
  <w:p w14:paraId="55515AAA" w14:textId="77777777" w:rsidR="006770EC" w:rsidRDefault="006770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D87DD" w14:textId="77777777" w:rsidR="00D05086" w:rsidRDefault="00D05086">
    <w:pPr>
      <w:pStyle w:val="Header"/>
    </w:pPr>
    <w:r>
      <w:rPr>
        <w:noProof/>
      </w:rPr>
      <mc:AlternateContent>
        <mc:Choice Requires="wps">
          <w:drawing>
            <wp:anchor distT="0" distB="0" distL="114300" distR="114300" simplePos="0" relativeHeight="251658243" behindDoc="0" locked="0" layoutInCell="1" allowOverlap="1" wp14:anchorId="1412DA11" wp14:editId="3244812A">
              <wp:simplePos x="0" y="0"/>
              <wp:positionH relativeFrom="column">
                <wp:posOffset>-1024932</wp:posOffset>
              </wp:positionH>
              <wp:positionV relativeFrom="paragraph">
                <wp:posOffset>-469865</wp:posOffset>
              </wp:positionV>
              <wp:extent cx="7857197" cy="10761785"/>
              <wp:effectExtent l="0" t="0" r="4445" b="0"/>
              <wp:wrapNone/>
              <wp:docPr id="20" name="Text Box 20"/>
              <wp:cNvGraphicFramePr/>
              <a:graphic xmlns:a="http://schemas.openxmlformats.org/drawingml/2006/main">
                <a:graphicData uri="http://schemas.microsoft.com/office/word/2010/wordprocessingShape">
                  <wps:wsp>
                    <wps:cNvSpPr txBox="1"/>
                    <wps:spPr>
                      <a:xfrm>
                        <a:off x="0" y="0"/>
                        <a:ext cx="7857197" cy="10761785"/>
                      </a:xfrm>
                      <a:prstGeom prst="rect">
                        <a:avLst/>
                      </a:prstGeom>
                      <a:solidFill>
                        <a:schemeClr val="lt1"/>
                      </a:solidFill>
                      <a:ln w="6350">
                        <a:noFill/>
                      </a:ln>
                    </wps:spPr>
                    <wps:txbx>
                      <w:txbxContent>
                        <w:p w14:paraId="59DBD990" w14:textId="77777777" w:rsidR="00D05086" w:rsidRDefault="00D05086">
                          <w:r>
                            <w:t xml:space="preserve"> </w:t>
                          </w:r>
                          <w:r>
                            <w:rPr>
                              <w:noProof/>
                            </w:rPr>
                            <w:drawing>
                              <wp:inline distT="0" distB="0" distL="0" distR="0" wp14:anchorId="61EB9635" wp14:editId="081E432F">
                                <wp:extent cx="7655270" cy="10783614"/>
                                <wp:effectExtent l="0" t="0" r="3175" b="0"/>
                                <wp:docPr id="1509863028" name="Picture 15098630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659587" cy="1078969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2DA11" id="_x0000_t202" coordsize="21600,21600" o:spt="202" path="m,l,21600r21600,l21600,xe">
              <v:stroke joinstyle="miter"/>
              <v:path gradientshapeok="t" o:connecttype="rect"/>
            </v:shapetype>
            <v:shape id="Text Box 20" o:spid="_x0000_s1038" type="#_x0000_t202" style="position:absolute;margin-left:-80.7pt;margin-top:-37pt;width:618.7pt;height:847.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" fillcolor="white [3201]" stroked="f" strokeweight=".5pt">
              <v:textbox inset="0,0,0,0">
                <w:txbxContent>
                  <w:p w14:paraId="59DBD990" w14:textId="77777777" w:rsidR="00D05086" w:rsidRDefault="00D05086">
                    <w:r>
                      <w:t xml:space="preserve"> </w:t>
                    </w:r>
                    <w:r>
                      <w:rPr>
                        <w:noProof/>
                      </w:rPr>
                      <w:drawing>
                        <wp:inline distT="0" distB="0" distL="0" distR="0" wp14:anchorId="61EB9635" wp14:editId="081E432F">
                          <wp:extent cx="7655270" cy="10783614"/>
                          <wp:effectExtent l="0" t="0" r="3175" b="0"/>
                          <wp:docPr id="1509863028" name="Picture 15098630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659587" cy="10789695"/>
                                  </a:xfrm>
                                  <a:prstGeom prst="rect">
                                    <a:avLst/>
                                  </a:prstGeom>
                                </pic:spPr>
                              </pic:pic>
                            </a:graphicData>
                          </a:graphic>
                        </wp:inline>
                      </w:drawing>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B1813"/>
    <w:multiLevelType w:val="multilevel"/>
    <w:tmpl w:val="E6A85A6A"/>
    <w:lvl w:ilvl="0">
      <w:start w:val="1"/>
      <w:numFmt w:val="decimal"/>
      <w:lvlText w:val="%1."/>
      <w:lvlJc w:val="left"/>
      <w:pPr>
        <w:ind w:left="861"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29893A42"/>
    <w:multiLevelType w:val="hybridMultilevel"/>
    <w:tmpl w:val="3E92FB40"/>
    <w:lvl w:ilvl="0" w:tplc="C79C3A8A">
      <w:start w:val="14"/>
      <w:numFmt w:val="bullet"/>
      <w:lvlText w:val="-"/>
      <w:lvlJc w:val="left"/>
      <w:pPr>
        <w:ind w:left="360" w:hanging="360"/>
      </w:pPr>
      <w:rPr>
        <w:rFonts w:ascii="Calibri" w:eastAsiaTheme="minorEastAsia"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330162D1"/>
    <w:multiLevelType w:val="hybridMultilevel"/>
    <w:tmpl w:val="AE8CA26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355D6FE1"/>
    <w:multiLevelType w:val="hybridMultilevel"/>
    <w:tmpl w:val="70EEE330"/>
    <w:lvl w:ilvl="0" w:tplc="A4DE7712">
      <w:start w:val="1"/>
      <w:numFmt w:val="bullet"/>
      <w:pStyle w:val="ListParagraph"/>
      <w:lvlText w:val=""/>
      <w:lvlJc w:val="left"/>
      <w:pPr>
        <w:ind w:left="720" w:hanging="360"/>
      </w:pPr>
      <w:rPr>
        <w:rFonts w:ascii="Symbol" w:hAnsi="Symbol" w:hint="default"/>
        <w:color w:val="00A87E"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815F46"/>
    <w:multiLevelType w:val="hybridMultilevel"/>
    <w:tmpl w:val="EA1CF2C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4BAB2B60"/>
    <w:multiLevelType w:val="hybridMultilevel"/>
    <w:tmpl w:val="B75611F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EF272AC"/>
    <w:multiLevelType w:val="hybridMultilevel"/>
    <w:tmpl w:val="24809F9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F0A7362"/>
    <w:multiLevelType w:val="hybridMultilevel"/>
    <w:tmpl w:val="9E828B3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4F46640C"/>
    <w:multiLevelType w:val="hybridMultilevel"/>
    <w:tmpl w:val="C9962FA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567B6A90"/>
    <w:multiLevelType w:val="hybridMultilevel"/>
    <w:tmpl w:val="CA5A95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D6C4504"/>
    <w:multiLevelType w:val="hybridMultilevel"/>
    <w:tmpl w:val="BB52B25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E71677A"/>
    <w:multiLevelType w:val="hybridMultilevel"/>
    <w:tmpl w:val="E4B0CC9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67BF5EFC"/>
    <w:multiLevelType w:val="hybridMultilevel"/>
    <w:tmpl w:val="863C3C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6E1274C9"/>
    <w:multiLevelType w:val="multilevel"/>
    <w:tmpl w:val="3E7C9768"/>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16cid:durableId="2097437322">
    <w:abstractNumId w:val="3"/>
  </w:num>
  <w:num w:numId="2" w16cid:durableId="790320807">
    <w:abstractNumId w:val="0"/>
  </w:num>
  <w:num w:numId="3" w16cid:durableId="383255511">
    <w:abstractNumId w:val="6"/>
  </w:num>
  <w:num w:numId="4" w16cid:durableId="1943415496">
    <w:abstractNumId w:val="5"/>
  </w:num>
  <w:num w:numId="5" w16cid:durableId="84350530">
    <w:abstractNumId w:val="12"/>
  </w:num>
  <w:num w:numId="6" w16cid:durableId="317542706">
    <w:abstractNumId w:val="2"/>
  </w:num>
  <w:num w:numId="7" w16cid:durableId="1154031292">
    <w:abstractNumId w:val="8"/>
  </w:num>
  <w:num w:numId="8" w16cid:durableId="1359575936">
    <w:abstractNumId w:val="13"/>
  </w:num>
  <w:num w:numId="9" w16cid:durableId="338118788">
    <w:abstractNumId w:val="1"/>
  </w:num>
  <w:num w:numId="10" w16cid:durableId="585263833">
    <w:abstractNumId w:val="10"/>
  </w:num>
  <w:num w:numId="11" w16cid:durableId="78067404">
    <w:abstractNumId w:val="7"/>
  </w:num>
  <w:num w:numId="12" w16cid:durableId="1622223174">
    <w:abstractNumId w:val="11"/>
  </w:num>
  <w:num w:numId="13" w16cid:durableId="1412770481">
    <w:abstractNumId w:val="4"/>
  </w:num>
  <w:num w:numId="14" w16cid:durableId="1857692545">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AFB"/>
    <w:rsid w:val="00000E8C"/>
    <w:rsid w:val="00003FEA"/>
    <w:rsid w:val="00015B30"/>
    <w:rsid w:val="00034CC6"/>
    <w:rsid w:val="0005120A"/>
    <w:rsid w:val="00087F55"/>
    <w:rsid w:val="00091E73"/>
    <w:rsid w:val="000B028D"/>
    <w:rsid w:val="000C1010"/>
    <w:rsid w:val="000C4FF6"/>
    <w:rsid w:val="000E4121"/>
    <w:rsid w:val="000F33EA"/>
    <w:rsid w:val="001038CE"/>
    <w:rsid w:val="00104F1E"/>
    <w:rsid w:val="0011040B"/>
    <w:rsid w:val="0011230D"/>
    <w:rsid w:val="00113AF2"/>
    <w:rsid w:val="00144B16"/>
    <w:rsid w:val="00151A3C"/>
    <w:rsid w:val="00160689"/>
    <w:rsid w:val="001633AB"/>
    <w:rsid w:val="00171066"/>
    <w:rsid w:val="00171D77"/>
    <w:rsid w:val="001825B0"/>
    <w:rsid w:val="001B1DF8"/>
    <w:rsid w:val="001D6CFB"/>
    <w:rsid w:val="001E04AD"/>
    <w:rsid w:val="001E3567"/>
    <w:rsid w:val="001E4C69"/>
    <w:rsid w:val="002129B1"/>
    <w:rsid w:val="00221606"/>
    <w:rsid w:val="00234DF5"/>
    <w:rsid w:val="00235959"/>
    <w:rsid w:val="0023676C"/>
    <w:rsid w:val="00250648"/>
    <w:rsid w:val="002654A8"/>
    <w:rsid w:val="00273FE2"/>
    <w:rsid w:val="002838AA"/>
    <w:rsid w:val="00287637"/>
    <w:rsid w:val="00291927"/>
    <w:rsid w:val="002A79C5"/>
    <w:rsid w:val="002B6872"/>
    <w:rsid w:val="002D0536"/>
    <w:rsid w:val="002D0555"/>
    <w:rsid w:val="002D584B"/>
    <w:rsid w:val="002D6FBB"/>
    <w:rsid w:val="002E62DC"/>
    <w:rsid w:val="002F5DFE"/>
    <w:rsid w:val="00312572"/>
    <w:rsid w:val="003479A5"/>
    <w:rsid w:val="00352CEB"/>
    <w:rsid w:val="003604EE"/>
    <w:rsid w:val="0037108E"/>
    <w:rsid w:val="003821FD"/>
    <w:rsid w:val="003A1A12"/>
    <w:rsid w:val="003D1E1F"/>
    <w:rsid w:val="0040057B"/>
    <w:rsid w:val="004271D7"/>
    <w:rsid w:val="00430320"/>
    <w:rsid w:val="004337E7"/>
    <w:rsid w:val="0043423E"/>
    <w:rsid w:val="00435542"/>
    <w:rsid w:val="004440F3"/>
    <w:rsid w:val="004450F6"/>
    <w:rsid w:val="00472291"/>
    <w:rsid w:val="00474DF7"/>
    <w:rsid w:val="0048149F"/>
    <w:rsid w:val="00483916"/>
    <w:rsid w:val="00486A6C"/>
    <w:rsid w:val="0049679E"/>
    <w:rsid w:val="004A3A13"/>
    <w:rsid w:val="004A4D1D"/>
    <w:rsid w:val="004B7F35"/>
    <w:rsid w:val="004D71BB"/>
    <w:rsid w:val="004E21B6"/>
    <w:rsid w:val="004E4DE8"/>
    <w:rsid w:val="004E7236"/>
    <w:rsid w:val="004F0C49"/>
    <w:rsid w:val="004F2248"/>
    <w:rsid w:val="004F6B51"/>
    <w:rsid w:val="005037BF"/>
    <w:rsid w:val="00527AB3"/>
    <w:rsid w:val="005403F4"/>
    <w:rsid w:val="005530A8"/>
    <w:rsid w:val="0055392E"/>
    <w:rsid w:val="00573442"/>
    <w:rsid w:val="00573655"/>
    <w:rsid w:val="005914F8"/>
    <w:rsid w:val="00595D20"/>
    <w:rsid w:val="005A3709"/>
    <w:rsid w:val="005B0376"/>
    <w:rsid w:val="005B706F"/>
    <w:rsid w:val="005C20C2"/>
    <w:rsid w:val="005F7B3B"/>
    <w:rsid w:val="00602515"/>
    <w:rsid w:val="0062627C"/>
    <w:rsid w:val="00627CD4"/>
    <w:rsid w:val="00634C8A"/>
    <w:rsid w:val="00642555"/>
    <w:rsid w:val="00642587"/>
    <w:rsid w:val="00643B64"/>
    <w:rsid w:val="0066590D"/>
    <w:rsid w:val="006702D1"/>
    <w:rsid w:val="006770EC"/>
    <w:rsid w:val="0068675A"/>
    <w:rsid w:val="00690F31"/>
    <w:rsid w:val="0069561F"/>
    <w:rsid w:val="006A372F"/>
    <w:rsid w:val="006B5220"/>
    <w:rsid w:val="006C780A"/>
    <w:rsid w:val="006D43D7"/>
    <w:rsid w:val="006D7301"/>
    <w:rsid w:val="0070079A"/>
    <w:rsid w:val="007104E8"/>
    <w:rsid w:val="007109C1"/>
    <w:rsid w:val="00716920"/>
    <w:rsid w:val="00737763"/>
    <w:rsid w:val="00740150"/>
    <w:rsid w:val="007A155D"/>
    <w:rsid w:val="007A6EA7"/>
    <w:rsid w:val="007C4974"/>
    <w:rsid w:val="007D6C7A"/>
    <w:rsid w:val="007E1462"/>
    <w:rsid w:val="007F7D52"/>
    <w:rsid w:val="008005D2"/>
    <w:rsid w:val="0081533A"/>
    <w:rsid w:val="008158F9"/>
    <w:rsid w:val="008317E0"/>
    <w:rsid w:val="00833679"/>
    <w:rsid w:val="00835345"/>
    <w:rsid w:val="00836526"/>
    <w:rsid w:val="008435EA"/>
    <w:rsid w:val="008444D8"/>
    <w:rsid w:val="00850E2C"/>
    <w:rsid w:val="00852FFD"/>
    <w:rsid w:val="008550F3"/>
    <w:rsid w:val="0085648C"/>
    <w:rsid w:val="008602C2"/>
    <w:rsid w:val="0087414A"/>
    <w:rsid w:val="00881087"/>
    <w:rsid w:val="008811E6"/>
    <w:rsid w:val="0089123D"/>
    <w:rsid w:val="0089786B"/>
    <w:rsid w:val="008A6053"/>
    <w:rsid w:val="008C6BC8"/>
    <w:rsid w:val="008D2AF6"/>
    <w:rsid w:val="008D535C"/>
    <w:rsid w:val="008D57EF"/>
    <w:rsid w:val="008F74B3"/>
    <w:rsid w:val="00917896"/>
    <w:rsid w:val="00917D8F"/>
    <w:rsid w:val="00923F25"/>
    <w:rsid w:val="00932803"/>
    <w:rsid w:val="00944D5E"/>
    <w:rsid w:val="00967B92"/>
    <w:rsid w:val="00972BDC"/>
    <w:rsid w:val="009849CA"/>
    <w:rsid w:val="0099072B"/>
    <w:rsid w:val="009A06E7"/>
    <w:rsid w:val="009A4B1B"/>
    <w:rsid w:val="009B0019"/>
    <w:rsid w:val="009B2D69"/>
    <w:rsid w:val="009D1D60"/>
    <w:rsid w:val="009E75A0"/>
    <w:rsid w:val="009F0272"/>
    <w:rsid w:val="00A029F1"/>
    <w:rsid w:val="00A12293"/>
    <w:rsid w:val="00A14D8F"/>
    <w:rsid w:val="00A51E5E"/>
    <w:rsid w:val="00A52D37"/>
    <w:rsid w:val="00A542CB"/>
    <w:rsid w:val="00A70793"/>
    <w:rsid w:val="00A70D00"/>
    <w:rsid w:val="00A70FE9"/>
    <w:rsid w:val="00A8610D"/>
    <w:rsid w:val="00A90E02"/>
    <w:rsid w:val="00A922B3"/>
    <w:rsid w:val="00A93C39"/>
    <w:rsid w:val="00AA00DA"/>
    <w:rsid w:val="00AA77ED"/>
    <w:rsid w:val="00AB0F43"/>
    <w:rsid w:val="00AC77CE"/>
    <w:rsid w:val="00AD2D33"/>
    <w:rsid w:val="00AF027E"/>
    <w:rsid w:val="00AF0AFB"/>
    <w:rsid w:val="00AF4333"/>
    <w:rsid w:val="00B0121E"/>
    <w:rsid w:val="00B0160C"/>
    <w:rsid w:val="00B15857"/>
    <w:rsid w:val="00B40490"/>
    <w:rsid w:val="00B42B5F"/>
    <w:rsid w:val="00B52E1F"/>
    <w:rsid w:val="00B75E62"/>
    <w:rsid w:val="00B86990"/>
    <w:rsid w:val="00B905CB"/>
    <w:rsid w:val="00BA541A"/>
    <w:rsid w:val="00BB4E11"/>
    <w:rsid w:val="00BC18C6"/>
    <w:rsid w:val="00BD44C6"/>
    <w:rsid w:val="00C013FA"/>
    <w:rsid w:val="00C07E3A"/>
    <w:rsid w:val="00C15AB2"/>
    <w:rsid w:val="00C20465"/>
    <w:rsid w:val="00C205EA"/>
    <w:rsid w:val="00C30A56"/>
    <w:rsid w:val="00C319EA"/>
    <w:rsid w:val="00C733EC"/>
    <w:rsid w:val="00C748E9"/>
    <w:rsid w:val="00C80739"/>
    <w:rsid w:val="00C83B00"/>
    <w:rsid w:val="00C91CF1"/>
    <w:rsid w:val="00CB6DD8"/>
    <w:rsid w:val="00CE0BF3"/>
    <w:rsid w:val="00CE17B1"/>
    <w:rsid w:val="00D05086"/>
    <w:rsid w:val="00D05FDB"/>
    <w:rsid w:val="00D15F7B"/>
    <w:rsid w:val="00D523D0"/>
    <w:rsid w:val="00D66AFC"/>
    <w:rsid w:val="00D76F08"/>
    <w:rsid w:val="00D83376"/>
    <w:rsid w:val="00D90557"/>
    <w:rsid w:val="00DA15F6"/>
    <w:rsid w:val="00DA307C"/>
    <w:rsid w:val="00DB7BEE"/>
    <w:rsid w:val="00DC1FA0"/>
    <w:rsid w:val="00DC21F7"/>
    <w:rsid w:val="00DC4CD9"/>
    <w:rsid w:val="00DD18F7"/>
    <w:rsid w:val="00DD59A6"/>
    <w:rsid w:val="00DE246C"/>
    <w:rsid w:val="00DE25C0"/>
    <w:rsid w:val="00DF20E5"/>
    <w:rsid w:val="00E004B8"/>
    <w:rsid w:val="00E05529"/>
    <w:rsid w:val="00E17CFF"/>
    <w:rsid w:val="00E20E52"/>
    <w:rsid w:val="00E23C78"/>
    <w:rsid w:val="00E35B6A"/>
    <w:rsid w:val="00E445C5"/>
    <w:rsid w:val="00E470EA"/>
    <w:rsid w:val="00E50C83"/>
    <w:rsid w:val="00E55D2F"/>
    <w:rsid w:val="00E649DA"/>
    <w:rsid w:val="00E766BF"/>
    <w:rsid w:val="00E85823"/>
    <w:rsid w:val="00E940DE"/>
    <w:rsid w:val="00E9590B"/>
    <w:rsid w:val="00E969A6"/>
    <w:rsid w:val="00E9784A"/>
    <w:rsid w:val="00ED1739"/>
    <w:rsid w:val="00ED6F81"/>
    <w:rsid w:val="00EE3F72"/>
    <w:rsid w:val="00EE75D5"/>
    <w:rsid w:val="00EF4952"/>
    <w:rsid w:val="00F361F0"/>
    <w:rsid w:val="00F61229"/>
    <w:rsid w:val="00F712DE"/>
    <w:rsid w:val="00F7761B"/>
    <w:rsid w:val="00F85FF5"/>
    <w:rsid w:val="00F955A1"/>
    <w:rsid w:val="00F97CBD"/>
    <w:rsid w:val="00FC3300"/>
    <w:rsid w:val="00FD249F"/>
    <w:rsid w:val="00FD3CB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D4650"/>
  <w15:chartTrackingRefBased/>
  <w15:docId w15:val="{AC6BBF13-83EE-4DB0-9DB1-607DB4597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AF2"/>
    <w:pPr>
      <w:spacing w:after="160" w:line="259" w:lineRule="auto"/>
    </w:pPr>
    <w:rPr>
      <w:rFonts w:cs="Times New Roman (Body CS)"/>
      <w:sz w:val="22"/>
    </w:rPr>
  </w:style>
  <w:style w:type="paragraph" w:styleId="Heading1">
    <w:name w:val="heading 1"/>
    <w:basedOn w:val="Normal"/>
    <w:next w:val="Normal"/>
    <w:link w:val="Heading1Char"/>
    <w:uiPriority w:val="9"/>
    <w:qFormat/>
    <w:rsid w:val="00E85823"/>
    <w:pPr>
      <w:keepNext/>
      <w:keepLines/>
      <w:spacing w:before="240" w:after="120" w:line="216" w:lineRule="auto"/>
      <w:outlineLvl w:val="0"/>
    </w:pPr>
    <w:rPr>
      <w:rFonts w:asciiTheme="majorHAnsi" w:eastAsiaTheme="majorEastAsia" w:hAnsiTheme="majorHAnsi" w:cs="Times New Roman (Headings CS)"/>
      <w:b/>
      <w:color w:val="00A87E" w:themeColor="accent1"/>
      <w:sz w:val="52"/>
      <w:szCs w:val="32"/>
    </w:rPr>
  </w:style>
  <w:style w:type="paragraph" w:styleId="Heading2">
    <w:name w:val="heading 2"/>
    <w:basedOn w:val="Normal"/>
    <w:next w:val="Normal"/>
    <w:link w:val="Heading2Char"/>
    <w:uiPriority w:val="9"/>
    <w:unhideWhenUsed/>
    <w:qFormat/>
    <w:rsid w:val="00E85823"/>
    <w:pPr>
      <w:keepNext/>
      <w:keepLines/>
      <w:spacing w:before="360" w:after="0" w:line="216" w:lineRule="auto"/>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E85823"/>
    <w:pPr>
      <w:keepNext/>
      <w:keepLines/>
      <w:spacing w:before="40" w:after="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uiPriority w:val="9"/>
    <w:unhideWhenUsed/>
    <w:qFormat/>
    <w:rsid w:val="00E85823"/>
    <w:pPr>
      <w:keepNext/>
      <w:keepLines/>
      <w:spacing w:before="40" w:after="0"/>
      <w:outlineLvl w:val="3"/>
    </w:pPr>
    <w:rPr>
      <w:rFonts w:asciiTheme="majorHAnsi" w:eastAsiaTheme="majorEastAsia" w:hAnsiTheme="majorHAnsi" w:cstheme="majorBidi"/>
      <w:b/>
      <w:i/>
      <w:iCs/>
      <w:color w:val="000000" w:themeColor="text1"/>
    </w:rPr>
  </w:style>
  <w:style w:type="paragraph" w:styleId="Heading5">
    <w:name w:val="heading 5"/>
    <w:basedOn w:val="Normal"/>
    <w:next w:val="Normal"/>
    <w:link w:val="Heading5Char"/>
    <w:uiPriority w:val="9"/>
    <w:unhideWhenUsed/>
    <w:rsid w:val="00E85823"/>
    <w:pPr>
      <w:keepNext/>
      <w:keepLines/>
      <w:spacing w:before="40" w:after="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E85823"/>
    <w:pPr>
      <w:keepNext/>
      <w:keepLines/>
      <w:spacing w:before="40" w:after="0"/>
      <w:outlineLvl w:val="5"/>
    </w:pPr>
    <w:rPr>
      <w:rFonts w:asciiTheme="majorHAnsi" w:eastAsiaTheme="majorEastAsia" w:hAnsiTheme="majorHAnsi" w:cstheme="majorBidi"/>
      <w:color w:val="00533E" w:themeColor="accent1" w:themeShade="7F"/>
    </w:rPr>
  </w:style>
  <w:style w:type="paragraph" w:styleId="Heading7">
    <w:name w:val="heading 7"/>
    <w:basedOn w:val="Normal"/>
    <w:next w:val="Normal"/>
    <w:link w:val="Heading7Char"/>
    <w:uiPriority w:val="9"/>
    <w:semiHidden/>
    <w:unhideWhenUsed/>
    <w:qFormat/>
    <w:rsid w:val="00E85823"/>
    <w:pPr>
      <w:keepNext/>
      <w:keepLines/>
      <w:spacing w:before="40" w:after="0"/>
      <w:outlineLvl w:val="6"/>
    </w:pPr>
    <w:rPr>
      <w:rFonts w:asciiTheme="majorHAnsi" w:eastAsiaTheme="majorEastAsia" w:hAnsiTheme="majorHAnsi" w:cstheme="majorBidi"/>
      <w:i/>
      <w:iCs/>
      <w:color w:val="00533E" w:themeColor="accent1" w:themeShade="7F"/>
    </w:rPr>
  </w:style>
  <w:style w:type="paragraph" w:styleId="Heading8">
    <w:name w:val="heading 8"/>
    <w:basedOn w:val="Normal"/>
    <w:next w:val="Normal"/>
    <w:link w:val="Heading8Char"/>
    <w:uiPriority w:val="9"/>
    <w:semiHidden/>
    <w:unhideWhenUsed/>
    <w:qFormat/>
    <w:rsid w:val="00E8582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582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1DF8"/>
    <w:pPr>
      <w:tabs>
        <w:tab w:val="center" w:pos="4513"/>
        <w:tab w:val="right" w:pos="9026"/>
      </w:tabs>
      <w:spacing w:after="0" w:line="240" w:lineRule="auto"/>
    </w:pPr>
    <w:rPr>
      <w:rFonts w:asciiTheme="majorHAnsi" w:hAnsiTheme="majorHAnsi"/>
    </w:rPr>
  </w:style>
  <w:style w:type="character" w:customStyle="1" w:styleId="Heading1Char">
    <w:name w:val="Heading 1 Char"/>
    <w:basedOn w:val="DefaultParagraphFont"/>
    <w:link w:val="Heading1"/>
    <w:uiPriority w:val="9"/>
    <w:rsid w:val="00F85FF5"/>
    <w:rPr>
      <w:rFonts w:asciiTheme="majorHAnsi" w:eastAsiaTheme="majorEastAsia" w:hAnsiTheme="majorHAnsi" w:cs="Times New Roman (Headings CS)"/>
      <w:b/>
      <w:color w:val="00A87E" w:themeColor="accent1"/>
      <w:sz w:val="52"/>
      <w:szCs w:val="32"/>
      <w:lang w:val="sv-SE"/>
    </w:rPr>
  </w:style>
  <w:style w:type="character" w:customStyle="1" w:styleId="HeaderChar">
    <w:name w:val="Header Char"/>
    <w:basedOn w:val="DefaultParagraphFont"/>
    <w:link w:val="Header"/>
    <w:uiPriority w:val="99"/>
    <w:rsid w:val="001B1DF8"/>
    <w:rPr>
      <w:rFonts w:asciiTheme="majorHAnsi" w:hAnsiTheme="majorHAnsi" w:cs="Times New Roman (Body CS)"/>
      <w:sz w:val="22"/>
      <w:lang w:val="sv-SE"/>
    </w:rPr>
  </w:style>
  <w:style w:type="paragraph" w:styleId="Footer">
    <w:name w:val="footer"/>
    <w:basedOn w:val="Normal"/>
    <w:link w:val="FooterChar"/>
    <w:uiPriority w:val="99"/>
    <w:unhideWhenUsed/>
    <w:rsid w:val="00CB6DD8"/>
    <w:pPr>
      <w:tabs>
        <w:tab w:val="center" w:pos="4513"/>
        <w:tab w:val="right" w:pos="9026"/>
      </w:tabs>
      <w:spacing w:after="0" w:line="240" w:lineRule="auto"/>
    </w:pPr>
    <w:rPr>
      <w:sz w:val="18"/>
    </w:rPr>
  </w:style>
  <w:style w:type="character" w:customStyle="1" w:styleId="FooterChar">
    <w:name w:val="Footer Char"/>
    <w:basedOn w:val="DefaultParagraphFont"/>
    <w:link w:val="Footer"/>
    <w:uiPriority w:val="99"/>
    <w:rsid w:val="00CB6DD8"/>
    <w:rPr>
      <w:rFonts w:cs="Times New Roman (Body CS)"/>
      <w:sz w:val="18"/>
      <w:lang w:val="sv-SE"/>
    </w:rPr>
  </w:style>
  <w:style w:type="table" w:styleId="TableGrid">
    <w:name w:val="Table Grid"/>
    <w:basedOn w:val="TableNormal"/>
    <w:uiPriority w:val="59"/>
    <w:rsid w:val="004271D7"/>
    <w:rPr>
      <w:rFonts w:eastAsiaTheme="minorEastAsia"/>
      <w:lang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1B1DF8"/>
    <w:pPr>
      <w:autoSpaceDE w:val="0"/>
      <w:autoSpaceDN w:val="0"/>
      <w:adjustRightInd w:val="0"/>
      <w:spacing w:after="0" w:line="288" w:lineRule="auto"/>
      <w:textAlignment w:val="center"/>
    </w:pPr>
    <w:rPr>
      <w:rFonts w:cs="Minion Pro"/>
      <w:color w:val="000000"/>
      <w:lang w:val="en-GB"/>
    </w:rPr>
  </w:style>
  <w:style w:type="character" w:customStyle="1" w:styleId="Heading2Char">
    <w:name w:val="Heading 2 Char"/>
    <w:basedOn w:val="DefaultParagraphFont"/>
    <w:link w:val="Heading2"/>
    <w:uiPriority w:val="9"/>
    <w:rsid w:val="00F85FF5"/>
    <w:rPr>
      <w:rFonts w:asciiTheme="majorHAnsi" w:eastAsiaTheme="majorEastAsia" w:hAnsiTheme="majorHAnsi" w:cstheme="majorBidi"/>
      <w:b/>
      <w:color w:val="000000" w:themeColor="text1"/>
      <w:sz w:val="32"/>
      <w:szCs w:val="26"/>
      <w:lang w:val="sv-SE"/>
    </w:rPr>
  </w:style>
  <w:style w:type="character" w:customStyle="1" w:styleId="Heading3Char">
    <w:name w:val="Heading 3 Char"/>
    <w:basedOn w:val="DefaultParagraphFont"/>
    <w:link w:val="Heading3"/>
    <w:uiPriority w:val="9"/>
    <w:rsid w:val="00015B30"/>
    <w:rPr>
      <w:rFonts w:asciiTheme="majorHAnsi" w:eastAsiaTheme="majorEastAsia" w:hAnsiTheme="majorHAnsi" w:cstheme="majorBidi"/>
      <w:b/>
      <w:color w:val="000000" w:themeColor="text1"/>
      <w:sz w:val="22"/>
      <w:lang w:val="sv-SE"/>
    </w:rPr>
  </w:style>
  <w:style w:type="character" w:customStyle="1" w:styleId="Heading4Char">
    <w:name w:val="Heading 4 Char"/>
    <w:basedOn w:val="DefaultParagraphFont"/>
    <w:link w:val="Heading4"/>
    <w:uiPriority w:val="9"/>
    <w:rsid w:val="00015B30"/>
    <w:rPr>
      <w:rFonts w:asciiTheme="majorHAnsi" w:eastAsiaTheme="majorEastAsia" w:hAnsiTheme="majorHAnsi" w:cstheme="majorBidi"/>
      <w:b/>
      <w:i/>
      <w:iCs/>
      <w:color w:val="000000" w:themeColor="text1"/>
      <w:sz w:val="22"/>
      <w:lang w:val="sv-SE"/>
    </w:rPr>
  </w:style>
  <w:style w:type="paragraph" w:styleId="Title">
    <w:name w:val="Title"/>
    <w:basedOn w:val="Normal"/>
    <w:next w:val="Normal"/>
    <w:link w:val="TitleChar"/>
    <w:uiPriority w:val="10"/>
    <w:qFormat/>
    <w:rsid w:val="006D43D7"/>
    <w:pPr>
      <w:spacing w:after="240" w:line="192" w:lineRule="auto"/>
      <w:contextualSpacing/>
    </w:pPr>
    <w:rPr>
      <w:rFonts w:ascii="Calibri" w:eastAsiaTheme="majorEastAsia" w:hAnsi="Calibri" w:cs="Times New Roman (Headings CS)"/>
      <w:b/>
      <w:color w:val="FFFFFF" w:themeColor="background1"/>
      <w:spacing w:val="10"/>
      <w:kern w:val="28"/>
      <w:sz w:val="84"/>
      <w:szCs w:val="56"/>
    </w:rPr>
  </w:style>
  <w:style w:type="character" w:customStyle="1" w:styleId="TitleChar">
    <w:name w:val="Title Char"/>
    <w:basedOn w:val="DefaultParagraphFont"/>
    <w:link w:val="Title"/>
    <w:uiPriority w:val="10"/>
    <w:rsid w:val="006D43D7"/>
    <w:rPr>
      <w:rFonts w:ascii="Calibri" w:eastAsiaTheme="majorEastAsia" w:hAnsi="Calibri" w:cs="Times New Roman (Headings CS)"/>
      <w:b/>
      <w:color w:val="FFFFFF" w:themeColor="background1"/>
      <w:spacing w:val="10"/>
      <w:kern w:val="28"/>
      <w:sz w:val="84"/>
      <w:szCs w:val="56"/>
      <w:lang w:val="sv-SE"/>
    </w:rPr>
  </w:style>
  <w:style w:type="character" w:styleId="Strong">
    <w:name w:val="Strong"/>
    <w:basedOn w:val="DefaultParagraphFont"/>
    <w:uiPriority w:val="22"/>
    <w:qFormat/>
    <w:rsid w:val="00015B30"/>
    <w:rPr>
      <w:b/>
      <w:bCs/>
    </w:rPr>
  </w:style>
  <w:style w:type="paragraph" w:styleId="Subtitle">
    <w:name w:val="Subtitle"/>
    <w:basedOn w:val="Normal"/>
    <w:next w:val="Normal"/>
    <w:link w:val="SubtitleChar"/>
    <w:uiPriority w:val="11"/>
    <w:qFormat/>
    <w:rsid w:val="006D43D7"/>
    <w:pPr>
      <w:numPr>
        <w:ilvl w:val="1"/>
      </w:numPr>
      <w:spacing w:after="480"/>
    </w:pPr>
    <w:rPr>
      <w:rFonts w:eastAsiaTheme="minorEastAsia"/>
      <w:color w:val="FFFFFF" w:themeColor="background1"/>
      <w:sz w:val="36"/>
      <w:szCs w:val="22"/>
    </w:rPr>
  </w:style>
  <w:style w:type="character" w:customStyle="1" w:styleId="SubtitleChar">
    <w:name w:val="Subtitle Char"/>
    <w:basedOn w:val="DefaultParagraphFont"/>
    <w:link w:val="Subtitle"/>
    <w:uiPriority w:val="11"/>
    <w:rsid w:val="006D43D7"/>
    <w:rPr>
      <w:rFonts w:eastAsiaTheme="minorEastAsia" w:cs="Times New Roman (Body CS)"/>
      <w:color w:val="FFFFFF" w:themeColor="background1"/>
      <w:sz w:val="36"/>
      <w:szCs w:val="22"/>
      <w:lang w:val="sv-SE"/>
    </w:rPr>
  </w:style>
  <w:style w:type="character" w:styleId="PageNumber">
    <w:name w:val="page number"/>
    <w:basedOn w:val="DefaultParagraphFont"/>
    <w:uiPriority w:val="99"/>
    <w:semiHidden/>
    <w:unhideWhenUsed/>
    <w:rsid w:val="00CB6DD8"/>
  </w:style>
  <w:style w:type="paragraph" w:styleId="TOC1">
    <w:name w:val="toc 1"/>
    <w:basedOn w:val="Normal"/>
    <w:next w:val="Normal"/>
    <w:autoRedefine/>
    <w:uiPriority w:val="39"/>
    <w:unhideWhenUsed/>
    <w:rsid w:val="00171D77"/>
    <w:pPr>
      <w:spacing w:after="100"/>
    </w:pPr>
  </w:style>
  <w:style w:type="character" w:styleId="Hyperlink">
    <w:name w:val="Hyperlink"/>
    <w:basedOn w:val="DefaultParagraphFont"/>
    <w:uiPriority w:val="99"/>
    <w:unhideWhenUsed/>
    <w:rsid w:val="001B1DF8"/>
    <w:rPr>
      <w:color w:val="0075C9" w:themeColor="accent2"/>
      <w:u w:val="single"/>
    </w:rPr>
  </w:style>
  <w:style w:type="paragraph" w:styleId="FootnoteText">
    <w:name w:val="footnote text"/>
    <w:basedOn w:val="Normal"/>
    <w:link w:val="FootnoteTextChar"/>
    <w:uiPriority w:val="99"/>
    <w:unhideWhenUsed/>
    <w:rsid w:val="00171D77"/>
    <w:pPr>
      <w:spacing w:after="0" w:line="240" w:lineRule="auto"/>
    </w:pPr>
    <w:rPr>
      <w:color w:val="7F7F7F" w:themeColor="text1" w:themeTint="80"/>
      <w:sz w:val="18"/>
      <w:szCs w:val="20"/>
    </w:rPr>
  </w:style>
  <w:style w:type="character" w:customStyle="1" w:styleId="FootnoteTextChar">
    <w:name w:val="Footnote Text Char"/>
    <w:basedOn w:val="DefaultParagraphFont"/>
    <w:link w:val="FootnoteText"/>
    <w:uiPriority w:val="99"/>
    <w:rsid w:val="00171D77"/>
    <w:rPr>
      <w:rFonts w:cs="Times New Roman (Body CS)"/>
      <w:color w:val="7F7F7F" w:themeColor="text1" w:themeTint="80"/>
      <w:sz w:val="18"/>
      <w:szCs w:val="20"/>
      <w:lang w:val="sv-SE"/>
    </w:rPr>
  </w:style>
  <w:style w:type="character" w:styleId="FootnoteReference">
    <w:name w:val="footnote reference"/>
    <w:basedOn w:val="DefaultParagraphFont"/>
    <w:uiPriority w:val="99"/>
    <w:semiHidden/>
    <w:unhideWhenUsed/>
    <w:rsid w:val="00171D77"/>
    <w:rPr>
      <w:vertAlign w:val="superscript"/>
    </w:rPr>
  </w:style>
  <w:style w:type="paragraph" w:styleId="NoSpacing">
    <w:name w:val="No Spacing"/>
    <w:uiPriority w:val="1"/>
    <w:qFormat/>
    <w:rsid w:val="00113AF2"/>
    <w:rPr>
      <w:rFonts w:cs="Times New Roman (Body CS)"/>
      <w:sz w:val="22"/>
    </w:rPr>
  </w:style>
  <w:style w:type="paragraph" w:styleId="BalloonText">
    <w:name w:val="Balloon Text"/>
    <w:basedOn w:val="Normal"/>
    <w:link w:val="BalloonTextChar"/>
    <w:uiPriority w:val="99"/>
    <w:semiHidden/>
    <w:unhideWhenUsed/>
    <w:rsid w:val="001B1DF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1B1DF8"/>
    <w:rPr>
      <w:rFonts w:cs="Times New Roman (Body CS)"/>
      <w:sz w:val="18"/>
      <w:szCs w:val="18"/>
      <w:lang w:val="sv-SE"/>
    </w:rPr>
  </w:style>
  <w:style w:type="paragraph" w:styleId="DocumentMap">
    <w:name w:val="Document Map"/>
    <w:basedOn w:val="Normal"/>
    <w:link w:val="DocumentMapChar"/>
    <w:uiPriority w:val="99"/>
    <w:semiHidden/>
    <w:unhideWhenUsed/>
    <w:rsid w:val="001B1DF8"/>
    <w:pPr>
      <w:spacing w:after="0" w:line="240" w:lineRule="auto"/>
    </w:pPr>
    <w:rPr>
      <w:sz w:val="26"/>
      <w:szCs w:val="26"/>
    </w:rPr>
  </w:style>
  <w:style w:type="character" w:customStyle="1" w:styleId="DocumentMapChar">
    <w:name w:val="Document Map Char"/>
    <w:basedOn w:val="DefaultParagraphFont"/>
    <w:link w:val="DocumentMap"/>
    <w:uiPriority w:val="99"/>
    <w:semiHidden/>
    <w:rsid w:val="001B1DF8"/>
    <w:rPr>
      <w:rFonts w:cs="Times New Roman (Body CS)"/>
      <w:sz w:val="26"/>
      <w:szCs w:val="26"/>
      <w:lang w:val="sv-SE"/>
    </w:rPr>
  </w:style>
  <w:style w:type="character" w:styleId="UnresolvedMention">
    <w:name w:val="Unresolved Mention"/>
    <w:basedOn w:val="DefaultParagraphFont"/>
    <w:uiPriority w:val="99"/>
    <w:semiHidden/>
    <w:unhideWhenUsed/>
    <w:rsid w:val="006D43D7"/>
    <w:rPr>
      <w:color w:val="605E5C"/>
      <w:shd w:val="clear" w:color="auto" w:fill="E1DFDD"/>
    </w:rPr>
  </w:style>
  <w:style w:type="paragraph" w:customStyle="1" w:styleId="Heading0">
    <w:name w:val="Heading 0"/>
    <w:basedOn w:val="Title"/>
    <w:next w:val="Normal"/>
    <w:link w:val="Heading0Char"/>
    <w:qFormat/>
    <w:rsid w:val="006D43D7"/>
    <w:pPr>
      <w:spacing w:before="240"/>
    </w:pPr>
    <w:rPr>
      <w:color w:val="00A87E" w:themeColor="accent1"/>
      <w:sz w:val="52"/>
      <w:szCs w:val="52"/>
      <w:lang w:val="en-US"/>
    </w:rPr>
  </w:style>
  <w:style w:type="character" w:customStyle="1" w:styleId="Heading0Char">
    <w:name w:val="Heading 0 Char"/>
    <w:basedOn w:val="TitleChar"/>
    <w:link w:val="Heading0"/>
    <w:rsid w:val="006D43D7"/>
    <w:rPr>
      <w:rFonts w:ascii="Calibri" w:eastAsiaTheme="majorEastAsia" w:hAnsi="Calibri" w:cs="Times New Roman (Headings CS)"/>
      <w:b/>
      <w:color w:val="00A87E" w:themeColor="accent1"/>
      <w:spacing w:val="10"/>
      <w:kern w:val="28"/>
      <w:sz w:val="52"/>
      <w:szCs w:val="52"/>
      <w:lang w:val="en-US"/>
    </w:rPr>
  </w:style>
  <w:style w:type="paragraph" w:styleId="ListParagraph">
    <w:name w:val="List Paragraph"/>
    <w:aliases w:val="Recommendatio,Recommendation,OBC Bullet,Dot pt,F5 List Paragraph,List Paragraph1,No Spacing1,List Paragraph Char Char Char,Indicator Text,Colorful List - Accent 11,Numbered Para 1,Bullet 1,Bullet Points,List Paragraph2,L,Premier,CV text,3"/>
    <w:basedOn w:val="Normal"/>
    <w:link w:val="ListParagraphChar"/>
    <w:uiPriority w:val="34"/>
    <w:qFormat/>
    <w:rsid w:val="00F85FF5"/>
    <w:pPr>
      <w:numPr>
        <w:numId w:val="1"/>
      </w:numPr>
      <w:contextualSpacing/>
    </w:pPr>
  </w:style>
  <w:style w:type="paragraph" w:styleId="Caption">
    <w:name w:val="caption"/>
    <w:basedOn w:val="Normal"/>
    <w:next w:val="Normal"/>
    <w:uiPriority w:val="35"/>
    <w:unhideWhenUsed/>
    <w:qFormat/>
    <w:rsid w:val="00F85FF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F85FF5"/>
    <w:rPr>
      <w:rFonts w:asciiTheme="majorHAnsi" w:eastAsiaTheme="majorEastAsia" w:hAnsiTheme="majorHAnsi" w:cstheme="majorBidi"/>
      <w:color w:val="000000" w:themeColor="text1"/>
      <w:sz w:val="22"/>
      <w:lang w:val="sv-SE"/>
    </w:rPr>
  </w:style>
  <w:style w:type="character" w:customStyle="1" w:styleId="Heading9Char">
    <w:name w:val="Heading 9 Char"/>
    <w:basedOn w:val="DefaultParagraphFont"/>
    <w:link w:val="Heading9"/>
    <w:uiPriority w:val="9"/>
    <w:semiHidden/>
    <w:rsid w:val="00F85FF5"/>
    <w:rPr>
      <w:rFonts w:asciiTheme="majorHAnsi" w:eastAsiaTheme="majorEastAsia" w:hAnsiTheme="majorHAnsi" w:cstheme="majorBidi"/>
      <w:i/>
      <w:iCs/>
      <w:color w:val="272727" w:themeColor="text1" w:themeTint="D8"/>
      <w:sz w:val="21"/>
      <w:szCs w:val="21"/>
      <w:lang w:val="sv-SE"/>
    </w:rPr>
  </w:style>
  <w:style w:type="paragraph" w:styleId="Quote">
    <w:name w:val="Quote"/>
    <w:basedOn w:val="Normal"/>
    <w:next w:val="Normal"/>
    <w:link w:val="QuoteChar"/>
    <w:uiPriority w:val="29"/>
    <w:qFormat/>
    <w:rsid w:val="00527AB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27AB3"/>
    <w:rPr>
      <w:rFonts w:cs="Times New Roman (Body CS)"/>
      <w:i/>
      <w:iCs/>
      <w:color w:val="404040" w:themeColor="text1" w:themeTint="BF"/>
      <w:sz w:val="22"/>
      <w:lang w:val="sv-SE"/>
    </w:rPr>
  </w:style>
  <w:style w:type="paragraph" w:styleId="IntenseQuote">
    <w:name w:val="Intense Quote"/>
    <w:basedOn w:val="Normal"/>
    <w:next w:val="Normal"/>
    <w:link w:val="IntenseQuoteChar"/>
    <w:uiPriority w:val="30"/>
    <w:qFormat/>
    <w:rsid w:val="00D76F08"/>
    <w:pPr>
      <w:pBdr>
        <w:top w:val="single" w:sz="4" w:space="10" w:color="00A87E" w:themeColor="accent1"/>
        <w:bottom w:val="single" w:sz="4" w:space="10" w:color="00A87E" w:themeColor="accent1"/>
      </w:pBdr>
      <w:spacing w:before="480" w:after="480"/>
      <w:ind w:left="1021" w:right="1021"/>
      <w:jc w:val="center"/>
    </w:pPr>
    <w:rPr>
      <w:b/>
      <w:i/>
      <w:iCs/>
      <w:color w:val="00A87E" w:themeColor="accent1"/>
      <w:sz w:val="26"/>
    </w:rPr>
  </w:style>
  <w:style w:type="character" w:customStyle="1" w:styleId="IntenseQuoteChar">
    <w:name w:val="Intense Quote Char"/>
    <w:basedOn w:val="DefaultParagraphFont"/>
    <w:link w:val="IntenseQuote"/>
    <w:uiPriority w:val="30"/>
    <w:rsid w:val="00D76F08"/>
    <w:rPr>
      <w:rFonts w:cs="Times New Roman (Body CS)"/>
      <w:b/>
      <w:i/>
      <w:iCs/>
      <w:color w:val="00A87E" w:themeColor="accent1"/>
      <w:sz w:val="26"/>
      <w:lang w:val="sv-SE"/>
    </w:rPr>
  </w:style>
  <w:style w:type="character" w:customStyle="1" w:styleId="Heading6Char">
    <w:name w:val="Heading 6 Char"/>
    <w:basedOn w:val="DefaultParagraphFont"/>
    <w:link w:val="Heading6"/>
    <w:uiPriority w:val="9"/>
    <w:semiHidden/>
    <w:rsid w:val="00E85823"/>
    <w:rPr>
      <w:rFonts w:asciiTheme="majorHAnsi" w:eastAsiaTheme="majorEastAsia" w:hAnsiTheme="majorHAnsi" w:cstheme="majorBidi"/>
      <w:color w:val="00533E" w:themeColor="accent1" w:themeShade="7F"/>
      <w:sz w:val="22"/>
      <w:lang w:val="sv-SE"/>
    </w:rPr>
  </w:style>
  <w:style w:type="character" w:customStyle="1" w:styleId="Heading7Char">
    <w:name w:val="Heading 7 Char"/>
    <w:basedOn w:val="DefaultParagraphFont"/>
    <w:link w:val="Heading7"/>
    <w:uiPriority w:val="9"/>
    <w:semiHidden/>
    <w:rsid w:val="00E85823"/>
    <w:rPr>
      <w:rFonts w:asciiTheme="majorHAnsi" w:eastAsiaTheme="majorEastAsia" w:hAnsiTheme="majorHAnsi" w:cstheme="majorBidi"/>
      <w:i/>
      <w:iCs/>
      <w:color w:val="00533E" w:themeColor="accent1" w:themeShade="7F"/>
      <w:sz w:val="22"/>
      <w:lang w:val="sv-SE"/>
    </w:rPr>
  </w:style>
  <w:style w:type="character" w:customStyle="1" w:styleId="Heading8Char">
    <w:name w:val="Heading 8 Char"/>
    <w:basedOn w:val="DefaultParagraphFont"/>
    <w:link w:val="Heading8"/>
    <w:uiPriority w:val="9"/>
    <w:semiHidden/>
    <w:rsid w:val="00E85823"/>
    <w:rPr>
      <w:rFonts w:asciiTheme="majorHAnsi" w:eastAsiaTheme="majorEastAsia" w:hAnsiTheme="majorHAnsi" w:cstheme="majorBidi"/>
      <w:color w:val="272727" w:themeColor="text1" w:themeTint="D8"/>
      <w:sz w:val="21"/>
      <w:szCs w:val="21"/>
      <w:lang w:val="sv-SE"/>
    </w:rPr>
  </w:style>
  <w:style w:type="paragraph" w:styleId="TOC2">
    <w:name w:val="toc 2"/>
    <w:basedOn w:val="Normal"/>
    <w:next w:val="Normal"/>
    <w:autoRedefine/>
    <w:uiPriority w:val="39"/>
    <w:unhideWhenUsed/>
    <w:rsid w:val="00D76F08"/>
    <w:pPr>
      <w:spacing w:after="100"/>
      <w:ind w:left="220"/>
    </w:pPr>
  </w:style>
  <w:style w:type="character" w:styleId="IntenseEmphasis">
    <w:name w:val="Intense Emphasis"/>
    <w:basedOn w:val="DefaultParagraphFont"/>
    <w:uiPriority w:val="21"/>
    <w:qFormat/>
    <w:rsid w:val="001633AB"/>
    <w:rPr>
      <w:i/>
      <w:iCs/>
      <w:color w:val="7F7F7F" w:themeColor="text1" w:themeTint="80"/>
    </w:rPr>
  </w:style>
  <w:style w:type="character" w:styleId="IntenseReference">
    <w:name w:val="Intense Reference"/>
    <w:basedOn w:val="DefaultParagraphFont"/>
    <w:uiPriority w:val="32"/>
    <w:qFormat/>
    <w:rsid w:val="001633AB"/>
    <w:rPr>
      <w:b/>
      <w:bCs/>
      <w:smallCaps/>
      <w:color w:val="000000" w:themeColor="text1"/>
      <w:spacing w:val="5"/>
    </w:rPr>
  </w:style>
  <w:style w:type="paragraph" w:styleId="TOCHeading">
    <w:name w:val="TOC Heading"/>
    <w:basedOn w:val="Heading1"/>
    <w:next w:val="Normal"/>
    <w:uiPriority w:val="39"/>
    <w:unhideWhenUsed/>
    <w:qFormat/>
    <w:rsid w:val="001633AB"/>
    <w:pPr>
      <w:spacing w:after="0" w:line="259" w:lineRule="auto"/>
      <w:outlineLvl w:val="9"/>
    </w:pPr>
    <w:rPr>
      <w:rFonts w:cstheme="majorBidi"/>
      <w:b w:val="0"/>
      <w:color w:val="000000" w:themeColor="text1"/>
      <w:sz w:val="32"/>
    </w:rPr>
  </w:style>
  <w:style w:type="paragraph" w:styleId="BlockText">
    <w:name w:val="Block Text"/>
    <w:basedOn w:val="Normal"/>
    <w:uiPriority w:val="99"/>
    <w:unhideWhenUsed/>
    <w:rsid w:val="001633AB"/>
    <w:pPr>
      <w:pBdr>
        <w:top w:val="single" w:sz="2" w:space="10" w:color="00A87E" w:themeColor="accent1"/>
        <w:left w:val="single" w:sz="2" w:space="10" w:color="00A87E" w:themeColor="accent1"/>
        <w:bottom w:val="single" w:sz="2" w:space="10" w:color="00A87E" w:themeColor="accent1"/>
        <w:right w:val="single" w:sz="2" w:space="10" w:color="00A87E" w:themeColor="accent1"/>
      </w:pBdr>
      <w:ind w:left="1152" w:right="1152"/>
    </w:pPr>
    <w:rPr>
      <w:rFonts w:eastAsiaTheme="minorEastAsia" w:cstheme="minorBidi"/>
      <w:b/>
      <w:i/>
      <w:iCs/>
      <w:color w:val="00A87E" w:themeColor="accent1"/>
    </w:rPr>
  </w:style>
  <w:style w:type="character" w:customStyle="1" w:styleId="hgkelc">
    <w:name w:val="hgkelc"/>
    <w:basedOn w:val="DefaultParagraphFont"/>
    <w:rsid w:val="00AF0AFB"/>
  </w:style>
  <w:style w:type="character" w:styleId="CommentReference">
    <w:name w:val="annotation reference"/>
    <w:basedOn w:val="DefaultParagraphFont"/>
    <w:uiPriority w:val="99"/>
    <w:semiHidden/>
    <w:unhideWhenUsed/>
    <w:rsid w:val="00AF0AFB"/>
    <w:rPr>
      <w:sz w:val="16"/>
      <w:szCs w:val="16"/>
    </w:rPr>
  </w:style>
  <w:style w:type="paragraph" w:styleId="Bibliography">
    <w:name w:val="Bibliography"/>
    <w:basedOn w:val="Normal"/>
    <w:next w:val="Normal"/>
    <w:uiPriority w:val="37"/>
    <w:unhideWhenUsed/>
    <w:rsid w:val="00AF0AFB"/>
    <w:pPr>
      <w:spacing w:before="100" w:after="0" w:line="240" w:lineRule="auto"/>
      <w:ind w:left="720" w:hanging="720"/>
    </w:pPr>
    <w:rPr>
      <w:rFonts w:eastAsiaTheme="minorEastAsia" w:cstheme="minorBidi"/>
      <w:sz w:val="20"/>
      <w:szCs w:val="20"/>
    </w:rPr>
  </w:style>
  <w:style w:type="character" w:styleId="FollowedHyperlink">
    <w:name w:val="FollowedHyperlink"/>
    <w:basedOn w:val="DefaultParagraphFont"/>
    <w:uiPriority w:val="99"/>
    <w:semiHidden/>
    <w:unhideWhenUsed/>
    <w:rsid w:val="00F7761B"/>
    <w:rPr>
      <w:color w:val="0075C9" w:themeColor="followedHyperlink"/>
      <w:u w:val="single"/>
    </w:rPr>
  </w:style>
  <w:style w:type="paragraph" w:styleId="Revision">
    <w:name w:val="Revision"/>
    <w:hidden/>
    <w:uiPriority w:val="99"/>
    <w:semiHidden/>
    <w:rsid w:val="004337E7"/>
    <w:rPr>
      <w:rFonts w:cs="Times New Roman (Body CS)"/>
      <w:sz w:val="22"/>
    </w:rPr>
  </w:style>
  <w:style w:type="paragraph" w:styleId="CommentText">
    <w:name w:val="annotation text"/>
    <w:basedOn w:val="Normal"/>
    <w:link w:val="CommentTextChar"/>
    <w:uiPriority w:val="99"/>
    <w:unhideWhenUsed/>
    <w:rsid w:val="00AF4333"/>
    <w:pPr>
      <w:spacing w:line="240" w:lineRule="auto"/>
    </w:pPr>
    <w:rPr>
      <w:sz w:val="20"/>
      <w:szCs w:val="20"/>
    </w:rPr>
  </w:style>
  <w:style w:type="character" w:customStyle="1" w:styleId="CommentTextChar">
    <w:name w:val="Comment Text Char"/>
    <w:basedOn w:val="DefaultParagraphFont"/>
    <w:link w:val="CommentText"/>
    <w:uiPriority w:val="99"/>
    <w:rsid w:val="00AF4333"/>
    <w:rPr>
      <w:rFonts w:cs="Times New Roman (Body CS)"/>
      <w:sz w:val="20"/>
      <w:szCs w:val="20"/>
    </w:rPr>
  </w:style>
  <w:style w:type="paragraph" w:styleId="CommentSubject">
    <w:name w:val="annotation subject"/>
    <w:basedOn w:val="CommentText"/>
    <w:next w:val="CommentText"/>
    <w:link w:val="CommentSubjectChar"/>
    <w:uiPriority w:val="99"/>
    <w:semiHidden/>
    <w:unhideWhenUsed/>
    <w:rsid w:val="00AF4333"/>
    <w:rPr>
      <w:b/>
      <w:bCs/>
    </w:rPr>
  </w:style>
  <w:style w:type="character" w:customStyle="1" w:styleId="CommentSubjectChar">
    <w:name w:val="Comment Subject Char"/>
    <w:basedOn w:val="CommentTextChar"/>
    <w:link w:val="CommentSubject"/>
    <w:uiPriority w:val="99"/>
    <w:semiHidden/>
    <w:rsid w:val="00AF4333"/>
    <w:rPr>
      <w:rFonts w:cs="Times New Roman (Body CS)"/>
      <w:b/>
      <w:bCs/>
      <w:sz w:val="20"/>
      <w:szCs w:val="20"/>
    </w:rPr>
  </w:style>
  <w:style w:type="character" w:styleId="Mention">
    <w:name w:val="Mention"/>
    <w:basedOn w:val="DefaultParagraphFont"/>
    <w:uiPriority w:val="99"/>
    <w:unhideWhenUsed/>
    <w:rsid w:val="00104F1E"/>
    <w:rPr>
      <w:color w:val="2B579A"/>
      <w:shd w:val="clear" w:color="auto" w:fill="E1DFDD"/>
    </w:rPr>
  </w:style>
  <w:style w:type="character" w:customStyle="1" w:styleId="ListParagraphChar">
    <w:name w:val="List Paragraph Char"/>
    <w:aliases w:val="Recommendatio Char,Recommendation Char,OBC Bullet Char,Dot pt Char,F5 List Paragraph Char,List Paragraph1 Char,No Spacing1 Char,List Paragraph Char Char Char Char,Indicator Text Char,Colorful List - Accent 11 Char,Bullet 1 Char"/>
    <w:link w:val="ListParagraph"/>
    <w:uiPriority w:val="34"/>
    <w:qFormat/>
    <w:locked/>
    <w:rsid w:val="00E445C5"/>
    <w:rPr>
      <w:rFonts w:cs="Times New Roman (Body 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76005">
      <w:bodyDiv w:val="1"/>
      <w:marLeft w:val="0"/>
      <w:marRight w:val="0"/>
      <w:marTop w:val="0"/>
      <w:marBottom w:val="0"/>
      <w:divBdr>
        <w:top w:val="none" w:sz="0" w:space="0" w:color="auto"/>
        <w:left w:val="none" w:sz="0" w:space="0" w:color="auto"/>
        <w:bottom w:val="none" w:sz="0" w:space="0" w:color="auto"/>
        <w:right w:val="none" w:sz="0" w:space="0" w:color="auto"/>
      </w:divBdr>
    </w:div>
    <w:div w:id="468208632">
      <w:bodyDiv w:val="1"/>
      <w:marLeft w:val="0"/>
      <w:marRight w:val="0"/>
      <w:marTop w:val="0"/>
      <w:marBottom w:val="0"/>
      <w:divBdr>
        <w:top w:val="none" w:sz="0" w:space="0" w:color="auto"/>
        <w:left w:val="none" w:sz="0" w:space="0" w:color="auto"/>
        <w:bottom w:val="none" w:sz="0" w:space="0" w:color="auto"/>
        <w:right w:val="none" w:sz="0" w:space="0" w:color="auto"/>
      </w:divBdr>
    </w:div>
    <w:div w:id="494927896">
      <w:bodyDiv w:val="1"/>
      <w:marLeft w:val="0"/>
      <w:marRight w:val="0"/>
      <w:marTop w:val="0"/>
      <w:marBottom w:val="0"/>
      <w:divBdr>
        <w:top w:val="none" w:sz="0" w:space="0" w:color="auto"/>
        <w:left w:val="none" w:sz="0" w:space="0" w:color="auto"/>
        <w:bottom w:val="none" w:sz="0" w:space="0" w:color="auto"/>
        <w:right w:val="none" w:sz="0" w:space="0" w:color="auto"/>
      </w:divBdr>
    </w:div>
    <w:div w:id="635986927">
      <w:bodyDiv w:val="1"/>
      <w:marLeft w:val="0"/>
      <w:marRight w:val="0"/>
      <w:marTop w:val="0"/>
      <w:marBottom w:val="0"/>
      <w:divBdr>
        <w:top w:val="none" w:sz="0" w:space="0" w:color="auto"/>
        <w:left w:val="none" w:sz="0" w:space="0" w:color="auto"/>
        <w:bottom w:val="none" w:sz="0" w:space="0" w:color="auto"/>
        <w:right w:val="none" w:sz="0" w:space="0" w:color="auto"/>
      </w:divBdr>
    </w:div>
    <w:div w:id="687290846">
      <w:bodyDiv w:val="1"/>
      <w:marLeft w:val="0"/>
      <w:marRight w:val="0"/>
      <w:marTop w:val="0"/>
      <w:marBottom w:val="0"/>
      <w:divBdr>
        <w:top w:val="none" w:sz="0" w:space="0" w:color="auto"/>
        <w:left w:val="none" w:sz="0" w:space="0" w:color="auto"/>
        <w:bottom w:val="none" w:sz="0" w:space="0" w:color="auto"/>
        <w:right w:val="none" w:sz="0" w:space="0" w:color="auto"/>
      </w:divBdr>
    </w:div>
    <w:div w:id="824513338">
      <w:bodyDiv w:val="1"/>
      <w:marLeft w:val="0"/>
      <w:marRight w:val="0"/>
      <w:marTop w:val="0"/>
      <w:marBottom w:val="0"/>
      <w:divBdr>
        <w:top w:val="none" w:sz="0" w:space="0" w:color="auto"/>
        <w:left w:val="none" w:sz="0" w:space="0" w:color="auto"/>
        <w:bottom w:val="none" w:sz="0" w:space="0" w:color="auto"/>
        <w:right w:val="none" w:sz="0" w:space="0" w:color="auto"/>
      </w:divBdr>
    </w:div>
    <w:div w:id="1013147222">
      <w:bodyDiv w:val="1"/>
      <w:marLeft w:val="0"/>
      <w:marRight w:val="0"/>
      <w:marTop w:val="0"/>
      <w:marBottom w:val="0"/>
      <w:divBdr>
        <w:top w:val="none" w:sz="0" w:space="0" w:color="auto"/>
        <w:left w:val="none" w:sz="0" w:space="0" w:color="auto"/>
        <w:bottom w:val="none" w:sz="0" w:space="0" w:color="auto"/>
        <w:right w:val="none" w:sz="0" w:space="0" w:color="auto"/>
      </w:divBdr>
    </w:div>
    <w:div w:id="1343164422">
      <w:bodyDiv w:val="1"/>
      <w:marLeft w:val="0"/>
      <w:marRight w:val="0"/>
      <w:marTop w:val="0"/>
      <w:marBottom w:val="0"/>
      <w:divBdr>
        <w:top w:val="none" w:sz="0" w:space="0" w:color="auto"/>
        <w:left w:val="none" w:sz="0" w:space="0" w:color="auto"/>
        <w:bottom w:val="none" w:sz="0" w:space="0" w:color="auto"/>
        <w:right w:val="none" w:sz="0" w:space="0" w:color="auto"/>
      </w:divBdr>
    </w:div>
    <w:div w:id="1400012196">
      <w:bodyDiv w:val="1"/>
      <w:marLeft w:val="0"/>
      <w:marRight w:val="0"/>
      <w:marTop w:val="0"/>
      <w:marBottom w:val="0"/>
      <w:divBdr>
        <w:top w:val="none" w:sz="0" w:space="0" w:color="auto"/>
        <w:left w:val="none" w:sz="0" w:space="0" w:color="auto"/>
        <w:bottom w:val="none" w:sz="0" w:space="0" w:color="auto"/>
        <w:right w:val="none" w:sz="0" w:space="0" w:color="auto"/>
      </w:divBdr>
    </w:div>
    <w:div w:id="1714110835">
      <w:bodyDiv w:val="1"/>
      <w:marLeft w:val="0"/>
      <w:marRight w:val="0"/>
      <w:marTop w:val="0"/>
      <w:marBottom w:val="0"/>
      <w:divBdr>
        <w:top w:val="none" w:sz="0" w:space="0" w:color="auto"/>
        <w:left w:val="none" w:sz="0" w:space="0" w:color="auto"/>
        <w:bottom w:val="none" w:sz="0" w:space="0" w:color="auto"/>
        <w:right w:val="none" w:sz="0" w:space="0" w:color="auto"/>
      </w:divBdr>
    </w:div>
    <w:div w:id="195448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rldefense.com/v3/__http:/creativecommons.org/licenses/by-nc-nd/4.0__;!!N96JrnIq8IfO5w!2xdh28bsNiQV2FqgV2OfXTIQQQ4Rbpj4ucvV879pAtMGRKa3xcKjK2ikYS-sM5Y-35ynPXYtoY-S$" TargetMode="External"/><Relationship Id="rId18" Type="http://schemas.openxmlformats.org/officeDocument/2006/relationships/hyperlink" Target="https://www.smhi.se/data/miljo/nationella-emissionsdatabasen/nationella-emissionsdatabasen-1.174774" TargetMode="Externa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image" Target="media/image3.png"/><Relationship Id="rId34" Type="http://schemas.openxmlformats.org/officeDocument/2006/relationships/hyperlink" Target="https://www.trafa.se/" TargetMode="External"/><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www.trafa.s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6.png"/><Relationship Id="rId32" Type="http://schemas.openxmlformats.org/officeDocument/2006/relationships/hyperlink" Target="https://www.scb.se/" TargetMode="Externa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eivcf.eu.pythonanywhere.com/" TargetMode="External"/><Relationship Id="rId23" Type="http://schemas.openxmlformats.org/officeDocument/2006/relationships/image" Target="media/image5.png"/><Relationship Id="rId28" Type="http://schemas.openxmlformats.org/officeDocument/2006/relationships/hyperlink" Target="https://www.sei.org/projects-and-tools/tools/konsumtionskompassen/" TargetMode="External"/><Relationship Id="rId36" Type="http://schemas.openxmlformats.org/officeDocument/2006/relationships/hyperlink" Target="https://github.com/tp-SEI/VCF-dash.git" TargetMode="External"/><Relationship Id="rId10" Type="http://schemas.openxmlformats.org/officeDocument/2006/relationships/endnotes" Target="endnotes.xml"/><Relationship Id="rId19" Type="http://schemas.openxmlformats.org/officeDocument/2006/relationships/hyperlink" Target="https://www.sei.org/projects-and-tools/tools/konsumtionskompassen/" TargetMode="External"/><Relationship Id="rId31" Type="http://schemas.openxmlformats.org/officeDocument/2006/relationships/hyperlink" Target="https://www.scb.se/"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vernment.se/495f60/contentassets/883ae8e123bc4e42aa8d59296ebe0478/the-swedish-climate-policy-framework.pdf" TargetMode="External"/><Relationship Id="rId22" Type="http://schemas.openxmlformats.org/officeDocument/2006/relationships/image" Target="media/image4.jpg"/><Relationship Id="rId27" Type="http://schemas.openxmlformats.org/officeDocument/2006/relationships/hyperlink" Target="https://nationellaemissionsdatabasen.smhi.se/" TargetMode="External"/><Relationship Id="rId30" Type="http://schemas.openxmlformats.org/officeDocument/2006/relationships/hyperlink" Target="https://www.svenskkollektivtrafik.se/" TargetMode="External"/><Relationship Id="rId35" Type="http://schemas.openxmlformats.org/officeDocument/2006/relationships/hyperlink" Target="https://www.trafa.se/" TargetMode="External"/><Relationship Id="rId43" Type="http://schemas.openxmlformats.org/officeDocument/2006/relationships/hyperlink" Target="https://www.volvobuses.com/en/news/2015/jun/news-150255.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urldefense.com/v3/__http:/en.viablecities.se__;!!N96JrnIq8IfO5w!2xdh28bsNiQV2FqgV2OfXTIQQQ4Rbpj4ucvV879pAtMGRKa3xcKjK2ikYS-sM5Y-35ynPRPMRQwA$" TargetMode="External"/><Relationship Id="rId17" Type="http://schemas.openxmlformats.org/officeDocument/2006/relationships/hyperlink" Target="https://nationellaemissionsdatabasen.smhi.se/" TargetMode="External"/><Relationship Id="rId25" Type="http://schemas.openxmlformats.org/officeDocument/2006/relationships/image" Target="media/image7.png"/><Relationship Id="rId33" Type="http://schemas.openxmlformats.org/officeDocument/2006/relationships/hyperlink" Target="https://www.energiforetagen.se/in-english/" TargetMode="External"/><Relationship Id="rId38" Type="http://schemas.openxmlformats.org/officeDocument/2006/relationships/header" Target="header2.xml"/><Relationship Id="rId20" Type="http://schemas.openxmlformats.org/officeDocument/2006/relationships/hyperlink" Target="https://ec.europa.eu/eurostat/statistics-explained/index.php?title=Glossary:Classification_of_individual_consumption_by_purpose_(COICOP)" TargetMode="External"/><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https://www.naturvardsverket.se/4ad5aa/contentassets/d985b4a05bf4493fb4f728cfa8537626/pm-uppdaterade-malscenarier.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emf"/></Relationships>
</file>

<file path=word/_rels/header3.xml.rels><?xml version="1.0" encoding="UTF-8" standalone="yes"?>
<Relationships xmlns="http://schemas.openxmlformats.org/package/2006/relationships"><Relationship Id="rId1"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masoPiseddu\Downloads\Viable+Cities+Rapportmall+sv,+eng(1)\WORD%20Viable%20Cities_rapportmall_eng.dotx" TargetMode="External"/></Relationships>
</file>

<file path=word/theme/theme1.xml><?xml version="1.0" encoding="utf-8"?>
<a:theme xmlns:a="http://schemas.openxmlformats.org/drawingml/2006/main" name="Office Theme">
  <a:themeElements>
    <a:clrScheme name="ViableCities">
      <a:dk1>
        <a:srgbClr val="000000"/>
      </a:dk1>
      <a:lt1>
        <a:srgbClr val="FFFFFF"/>
      </a:lt1>
      <a:dk2>
        <a:srgbClr val="44546A"/>
      </a:dk2>
      <a:lt2>
        <a:srgbClr val="E7E6E6"/>
      </a:lt2>
      <a:accent1>
        <a:srgbClr val="00A87E"/>
      </a:accent1>
      <a:accent2>
        <a:srgbClr val="0075C9"/>
      </a:accent2>
      <a:accent3>
        <a:srgbClr val="A34DC3"/>
      </a:accent3>
      <a:accent4>
        <a:srgbClr val="F04D98"/>
      </a:accent4>
      <a:accent5>
        <a:srgbClr val="FFA02F"/>
      </a:accent5>
      <a:accent6>
        <a:srgbClr val="98E0CE"/>
      </a:accent6>
      <a:hlink>
        <a:srgbClr val="00A87E"/>
      </a:hlink>
      <a:folHlink>
        <a:srgbClr val="0075C9"/>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E21D71CDDEDF44BB29CB26B2B112131" ma:contentTypeVersion="10" ma:contentTypeDescription="Create a new document." ma:contentTypeScope="" ma:versionID="160dd0ce0da6d1e1bec53a75df43ea74">
  <xsd:schema xmlns:xsd="http://www.w3.org/2001/XMLSchema" xmlns:xs="http://www.w3.org/2001/XMLSchema" xmlns:p="http://schemas.microsoft.com/office/2006/metadata/properties" xmlns:ns2="7422aea7-239a-4f83-aa20-2e1801ef70fd" xmlns:ns3="20003168-c6ea-4f4f-bea4-1858137f64d0" targetNamespace="http://schemas.microsoft.com/office/2006/metadata/properties" ma:root="true" ma:fieldsID="c60d3a52798610ff512e3a7957c36b93" ns2:_="" ns3:_="">
    <xsd:import namespace="7422aea7-239a-4f83-aa20-2e1801ef70fd"/>
    <xsd:import namespace="20003168-c6ea-4f4f-bea4-1858137f64d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aea7-239a-4f83-aa20-2e1801ef70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003168-c6ea-4f4f-bea4-1858137f64d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BB1D0D-15B9-4F1F-9105-BCD7E474E4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F5FC465-4059-A243-9BA1-11B9139B3F19}">
  <ds:schemaRefs>
    <ds:schemaRef ds:uri="http://schemas.openxmlformats.org/officeDocument/2006/bibliography"/>
  </ds:schemaRefs>
</ds:datastoreItem>
</file>

<file path=customXml/itemProps3.xml><?xml version="1.0" encoding="utf-8"?>
<ds:datastoreItem xmlns:ds="http://schemas.openxmlformats.org/officeDocument/2006/customXml" ds:itemID="{B0398043-9E27-4B52-87A0-CB133AACC2E7}"/>
</file>

<file path=customXml/itemProps4.xml><?xml version="1.0" encoding="utf-8"?>
<ds:datastoreItem xmlns:ds="http://schemas.openxmlformats.org/officeDocument/2006/customXml" ds:itemID="{09E7D5C0-4454-422E-AEE1-3C5C88FCFF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Viable Cities_rapportmall_eng.dotx</Template>
  <TotalTime>12</TotalTime>
  <Pages>1</Pages>
  <Words>24117</Words>
  <Characters>137468</Characters>
  <Application>Microsoft Office Word</Application>
  <DocSecurity>4</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161263</CharactersWithSpaces>
  <SharedDoc>false</SharedDoc>
  <HLinks>
    <vt:vector size="234" baseType="variant">
      <vt:variant>
        <vt:i4>196625</vt:i4>
      </vt:variant>
      <vt:variant>
        <vt:i4>228</vt:i4>
      </vt:variant>
      <vt:variant>
        <vt:i4>0</vt:i4>
      </vt:variant>
      <vt:variant>
        <vt:i4>5</vt:i4>
      </vt:variant>
      <vt:variant>
        <vt:lpwstr>https://www.volvobuses.com/en/news/2015/jun/news-150255.html</vt:lpwstr>
      </vt:variant>
      <vt:variant>
        <vt:lpwstr/>
      </vt:variant>
      <vt:variant>
        <vt:i4>3866722</vt:i4>
      </vt:variant>
      <vt:variant>
        <vt:i4>195</vt:i4>
      </vt:variant>
      <vt:variant>
        <vt:i4>0</vt:i4>
      </vt:variant>
      <vt:variant>
        <vt:i4>5</vt:i4>
      </vt:variant>
      <vt:variant>
        <vt:lpwstr>https://github.com/tp-SEI/VCF-dash.git</vt:lpwstr>
      </vt:variant>
      <vt:variant>
        <vt:lpwstr/>
      </vt:variant>
      <vt:variant>
        <vt:i4>1507399</vt:i4>
      </vt:variant>
      <vt:variant>
        <vt:i4>192</vt:i4>
      </vt:variant>
      <vt:variant>
        <vt:i4>0</vt:i4>
      </vt:variant>
      <vt:variant>
        <vt:i4>5</vt:i4>
      </vt:variant>
      <vt:variant>
        <vt:lpwstr>https://www.trafa.se/</vt:lpwstr>
      </vt:variant>
      <vt:variant>
        <vt:lpwstr/>
      </vt:variant>
      <vt:variant>
        <vt:i4>1507399</vt:i4>
      </vt:variant>
      <vt:variant>
        <vt:i4>189</vt:i4>
      </vt:variant>
      <vt:variant>
        <vt:i4>0</vt:i4>
      </vt:variant>
      <vt:variant>
        <vt:i4>5</vt:i4>
      </vt:variant>
      <vt:variant>
        <vt:lpwstr>https://www.trafa.se/</vt:lpwstr>
      </vt:variant>
      <vt:variant>
        <vt:lpwstr/>
      </vt:variant>
      <vt:variant>
        <vt:i4>6422655</vt:i4>
      </vt:variant>
      <vt:variant>
        <vt:i4>186</vt:i4>
      </vt:variant>
      <vt:variant>
        <vt:i4>0</vt:i4>
      </vt:variant>
      <vt:variant>
        <vt:i4>5</vt:i4>
      </vt:variant>
      <vt:variant>
        <vt:lpwstr>https://www.energiforetagen.se/in-english/</vt:lpwstr>
      </vt:variant>
      <vt:variant>
        <vt:lpwstr/>
      </vt:variant>
      <vt:variant>
        <vt:i4>6291490</vt:i4>
      </vt:variant>
      <vt:variant>
        <vt:i4>183</vt:i4>
      </vt:variant>
      <vt:variant>
        <vt:i4>0</vt:i4>
      </vt:variant>
      <vt:variant>
        <vt:i4>5</vt:i4>
      </vt:variant>
      <vt:variant>
        <vt:lpwstr>https://www.scb.se/</vt:lpwstr>
      </vt:variant>
      <vt:variant>
        <vt:lpwstr/>
      </vt:variant>
      <vt:variant>
        <vt:i4>6291490</vt:i4>
      </vt:variant>
      <vt:variant>
        <vt:i4>180</vt:i4>
      </vt:variant>
      <vt:variant>
        <vt:i4>0</vt:i4>
      </vt:variant>
      <vt:variant>
        <vt:i4>5</vt:i4>
      </vt:variant>
      <vt:variant>
        <vt:lpwstr>https://www.scb.se/</vt:lpwstr>
      </vt:variant>
      <vt:variant>
        <vt:lpwstr/>
      </vt:variant>
      <vt:variant>
        <vt:i4>852041</vt:i4>
      </vt:variant>
      <vt:variant>
        <vt:i4>177</vt:i4>
      </vt:variant>
      <vt:variant>
        <vt:i4>0</vt:i4>
      </vt:variant>
      <vt:variant>
        <vt:i4>5</vt:i4>
      </vt:variant>
      <vt:variant>
        <vt:lpwstr>https://www.svenskkollektivtrafik.se/</vt:lpwstr>
      </vt:variant>
      <vt:variant>
        <vt:lpwstr/>
      </vt:variant>
      <vt:variant>
        <vt:i4>1507399</vt:i4>
      </vt:variant>
      <vt:variant>
        <vt:i4>174</vt:i4>
      </vt:variant>
      <vt:variant>
        <vt:i4>0</vt:i4>
      </vt:variant>
      <vt:variant>
        <vt:i4>5</vt:i4>
      </vt:variant>
      <vt:variant>
        <vt:lpwstr>https://www.trafa.se/</vt:lpwstr>
      </vt:variant>
      <vt:variant>
        <vt:lpwstr/>
      </vt:variant>
      <vt:variant>
        <vt:i4>7143486</vt:i4>
      </vt:variant>
      <vt:variant>
        <vt:i4>171</vt:i4>
      </vt:variant>
      <vt:variant>
        <vt:i4>0</vt:i4>
      </vt:variant>
      <vt:variant>
        <vt:i4>5</vt:i4>
      </vt:variant>
      <vt:variant>
        <vt:lpwstr>https://www.sei.org/projects-and-tools/tools/konsumtionskompassen/</vt:lpwstr>
      </vt:variant>
      <vt:variant>
        <vt:lpwstr/>
      </vt:variant>
      <vt:variant>
        <vt:i4>6029314</vt:i4>
      </vt:variant>
      <vt:variant>
        <vt:i4>168</vt:i4>
      </vt:variant>
      <vt:variant>
        <vt:i4>0</vt:i4>
      </vt:variant>
      <vt:variant>
        <vt:i4>5</vt:i4>
      </vt:variant>
      <vt:variant>
        <vt:lpwstr>https://nationellaemissionsdatabasen.smhi.se/</vt:lpwstr>
      </vt:variant>
      <vt:variant>
        <vt:lpwstr/>
      </vt:variant>
      <vt:variant>
        <vt:i4>7471175</vt:i4>
      </vt:variant>
      <vt:variant>
        <vt:i4>162</vt:i4>
      </vt:variant>
      <vt:variant>
        <vt:i4>0</vt:i4>
      </vt:variant>
      <vt:variant>
        <vt:i4>5</vt:i4>
      </vt:variant>
      <vt:variant>
        <vt:lpwstr/>
      </vt:variant>
      <vt:variant>
        <vt:lpwstr>_The_forecasts_for</vt:lpwstr>
      </vt:variant>
      <vt:variant>
        <vt:i4>3735676</vt:i4>
      </vt:variant>
      <vt:variant>
        <vt:i4>138</vt:i4>
      </vt:variant>
      <vt:variant>
        <vt:i4>0</vt:i4>
      </vt:variant>
      <vt:variant>
        <vt:i4>5</vt:i4>
      </vt:variant>
      <vt:variant>
        <vt:lpwstr>https://ec.europa.eu/eurostat/statistics-explained/index.php?title=Glossary:Classification_of_individual_consumption_by_purpose_(COICOP)</vt:lpwstr>
      </vt:variant>
      <vt:variant>
        <vt:lpwstr/>
      </vt:variant>
      <vt:variant>
        <vt:i4>7143486</vt:i4>
      </vt:variant>
      <vt:variant>
        <vt:i4>135</vt:i4>
      </vt:variant>
      <vt:variant>
        <vt:i4>0</vt:i4>
      </vt:variant>
      <vt:variant>
        <vt:i4>5</vt:i4>
      </vt:variant>
      <vt:variant>
        <vt:lpwstr>https://www.sei.org/projects-and-tools/tools/konsumtionskompassen/</vt:lpwstr>
      </vt:variant>
      <vt:variant>
        <vt:lpwstr/>
      </vt:variant>
      <vt:variant>
        <vt:i4>8192047</vt:i4>
      </vt:variant>
      <vt:variant>
        <vt:i4>132</vt:i4>
      </vt:variant>
      <vt:variant>
        <vt:i4>0</vt:i4>
      </vt:variant>
      <vt:variant>
        <vt:i4>5</vt:i4>
      </vt:variant>
      <vt:variant>
        <vt:lpwstr>https://www.smhi.se/data/miljo/nationella-emissionsdatabasen/nationella-emissionsdatabasen-1.174774</vt:lpwstr>
      </vt:variant>
      <vt:variant>
        <vt:lpwstr/>
      </vt:variant>
      <vt:variant>
        <vt:i4>6029314</vt:i4>
      </vt:variant>
      <vt:variant>
        <vt:i4>129</vt:i4>
      </vt:variant>
      <vt:variant>
        <vt:i4>0</vt:i4>
      </vt:variant>
      <vt:variant>
        <vt:i4>5</vt:i4>
      </vt:variant>
      <vt:variant>
        <vt:lpwstr>https://nationellaemissionsdatabasen.smhi.se/</vt:lpwstr>
      </vt:variant>
      <vt:variant>
        <vt:lpwstr/>
      </vt:variant>
      <vt:variant>
        <vt:i4>4653130</vt:i4>
      </vt:variant>
      <vt:variant>
        <vt:i4>123</vt:i4>
      </vt:variant>
      <vt:variant>
        <vt:i4>0</vt:i4>
      </vt:variant>
      <vt:variant>
        <vt:i4>5</vt:i4>
      </vt:variant>
      <vt:variant>
        <vt:lpwstr>https://seivcf.eu.pythonanywhere.com/</vt:lpwstr>
      </vt:variant>
      <vt:variant>
        <vt:lpwstr/>
      </vt:variant>
      <vt:variant>
        <vt:i4>5308443</vt:i4>
      </vt:variant>
      <vt:variant>
        <vt:i4>117</vt:i4>
      </vt:variant>
      <vt:variant>
        <vt:i4>0</vt:i4>
      </vt:variant>
      <vt:variant>
        <vt:i4>5</vt:i4>
      </vt:variant>
      <vt:variant>
        <vt:lpwstr>https://www.government.se/495f60/contentassets/883ae8e123bc4e42aa8d59296ebe0478/the-swedish-climate-policy-framework.pdf</vt:lpwstr>
      </vt:variant>
      <vt:variant>
        <vt:lpwstr/>
      </vt:variant>
      <vt:variant>
        <vt:i4>1441843</vt:i4>
      </vt:variant>
      <vt:variant>
        <vt:i4>110</vt:i4>
      </vt:variant>
      <vt:variant>
        <vt:i4>0</vt:i4>
      </vt:variant>
      <vt:variant>
        <vt:i4>5</vt:i4>
      </vt:variant>
      <vt:variant>
        <vt:lpwstr/>
      </vt:variant>
      <vt:variant>
        <vt:lpwstr>_Toc144478195</vt:lpwstr>
      </vt:variant>
      <vt:variant>
        <vt:i4>1441843</vt:i4>
      </vt:variant>
      <vt:variant>
        <vt:i4>104</vt:i4>
      </vt:variant>
      <vt:variant>
        <vt:i4>0</vt:i4>
      </vt:variant>
      <vt:variant>
        <vt:i4>5</vt:i4>
      </vt:variant>
      <vt:variant>
        <vt:lpwstr/>
      </vt:variant>
      <vt:variant>
        <vt:lpwstr>_Toc144478194</vt:lpwstr>
      </vt:variant>
      <vt:variant>
        <vt:i4>1441843</vt:i4>
      </vt:variant>
      <vt:variant>
        <vt:i4>98</vt:i4>
      </vt:variant>
      <vt:variant>
        <vt:i4>0</vt:i4>
      </vt:variant>
      <vt:variant>
        <vt:i4>5</vt:i4>
      </vt:variant>
      <vt:variant>
        <vt:lpwstr/>
      </vt:variant>
      <vt:variant>
        <vt:lpwstr>_Toc144478193</vt:lpwstr>
      </vt:variant>
      <vt:variant>
        <vt:i4>1441843</vt:i4>
      </vt:variant>
      <vt:variant>
        <vt:i4>92</vt:i4>
      </vt:variant>
      <vt:variant>
        <vt:i4>0</vt:i4>
      </vt:variant>
      <vt:variant>
        <vt:i4>5</vt:i4>
      </vt:variant>
      <vt:variant>
        <vt:lpwstr/>
      </vt:variant>
      <vt:variant>
        <vt:lpwstr>_Toc144478192</vt:lpwstr>
      </vt:variant>
      <vt:variant>
        <vt:i4>1441843</vt:i4>
      </vt:variant>
      <vt:variant>
        <vt:i4>86</vt:i4>
      </vt:variant>
      <vt:variant>
        <vt:i4>0</vt:i4>
      </vt:variant>
      <vt:variant>
        <vt:i4>5</vt:i4>
      </vt:variant>
      <vt:variant>
        <vt:lpwstr/>
      </vt:variant>
      <vt:variant>
        <vt:lpwstr>_Toc144478191</vt:lpwstr>
      </vt:variant>
      <vt:variant>
        <vt:i4>1441843</vt:i4>
      </vt:variant>
      <vt:variant>
        <vt:i4>80</vt:i4>
      </vt:variant>
      <vt:variant>
        <vt:i4>0</vt:i4>
      </vt:variant>
      <vt:variant>
        <vt:i4>5</vt:i4>
      </vt:variant>
      <vt:variant>
        <vt:lpwstr/>
      </vt:variant>
      <vt:variant>
        <vt:lpwstr>_Toc144478190</vt:lpwstr>
      </vt:variant>
      <vt:variant>
        <vt:i4>1507379</vt:i4>
      </vt:variant>
      <vt:variant>
        <vt:i4>74</vt:i4>
      </vt:variant>
      <vt:variant>
        <vt:i4>0</vt:i4>
      </vt:variant>
      <vt:variant>
        <vt:i4>5</vt:i4>
      </vt:variant>
      <vt:variant>
        <vt:lpwstr/>
      </vt:variant>
      <vt:variant>
        <vt:lpwstr>_Toc144478189</vt:lpwstr>
      </vt:variant>
      <vt:variant>
        <vt:i4>1507379</vt:i4>
      </vt:variant>
      <vt:variant>
        <vt:i4>68</vt:i4>
      </vt:variant>
      <vt:variant>
        <vt:i4>0</vt:i4>
      </vt:variant>
      <vt:variant>
        <vt:i4>5</vt:i4>
      </vt:variant>
      <vt:variant>
        <vt:lpwstr/>
      </vt:variant>
      <vt:variant>
        <vt:lpwstr>_Toc144478188</vt:lpwstr>
      </vt:variant>
      <vt:variant>
        <vt:i4>1507379</vt:i4>
      </vt:variant>
      <vt:variant>
        <vt:i4>62</vt:i4>
      </vt:variant>
      <vt:variant>
        <vt:i4>0</vt:i4>
      </vt:variant>
      <vt:variant>
        <vt:i4>5</vt:i4>
      </vt:variant>
      <vt:variant>
        <vt:lpwstr/>
      </vt:variant>
      <vt:variant>
        <vt:lpwstr>_Toc144478187</vt:lpwstr>
      </vt:variant>
      <vt:variant>
        <vt:i4>1507379</vt:i4>
      </vt:variant>
      <vt:variant>
        <vt:i4>56</vt:i4>
      </vt:variant>
      <vt:variant>
        <vt:i4>0</vt:i4>
      </vt:variant>
      <vt:variant>
        <vt:i4>5</vt:i4>
      </vt:variant>
      <vt:variant>
        <vt:lpwstr/>
      </vt:variant>
      <vt:variant>
        <vt:lpwstr>_Toc144478186</vt:lpwstr>
      </vt:variant>
      <vt:variant>
        <vt:i4>1507379</vt:i4>
      </vt:variant>
      <vt:variant>
        <vt:i4>50</vt:i4>
      </vt:variant>
      <vt:variant>
        <vt:i4>0</vt:i4>
      </vt:variant>
      <vt:variant>
        <vt:i4>5</vt:i4>
      </vt:variant>
      <vt:variant>
        <vt:lpwstr/>
      </vt:variant>
      <vt:variant>
        <vt:lpwstr>_Toc144478185</vt:lpwstr>
      </vt:variant>
      <vt:variant>
        <vt:i4>1507379</vt:i4>
      </vt:variant>
      <vt:variant>
        <vt:i4>44</vt:i4>
      </vt:variant>
      <vt:variant>
        <vt:i4>0</vt:i4>
      </vt:variant>
      <vt:variant>
        <vt:i4>5</vt:i4>
      </vt:variant>
      <vt:variant>
        <vt:lpwstr/>
      </vt:variant>
      <vt:variant>
        <vt:lpwstr>_Toc144478184</vt:lpwstr>
      </vt:variant>
      <vt:variant>
        <vt:i4>1507379</vt:i4>
      </vt:variant>
      <vt:variant>
        <vt:i4>38</vt:i4>
      </vt:variant>
      <vt:variant>
        <vt:i4>0</vt:i4>
      </vt:variant>
      <vt:variant>
        <vt:i4>5</vt:i4>
      </vt:variant>
      <vt:variant>
        <vt:lpwstr/>
      </vt:variant>
      <vt:variant>
        <vt:lpwstr>_Toc144478183</vt:lpwstr>
      </vt:variant>
      <vt:variant>
        <vt:i4>1507379</vt:i4>
      </vt:variant>
      <vt:variant>
        <vt:i4>32</vt:i4>
      </vt:variant>
      <vt:variant>
        <vt:i4>0</vt:i4>
      </vt:variant>
      <vt:variant>
        <vt:i4>5</vt:i4>
      </vt:variant>
      <vt:variant>
        <vt:lpwstr/>
      </vt:variant>
      <vt:variant>
        <vt:lpwstr>_Toc144478182</vt:lpwstr>
      </vt:variant>
      <vt:variant>
        <vt:i4>1507379</vt:i4>
      </vt:variant>
      <vt:variant>
        <vt:i4>26</vt:i4>
      </vt:variant>
      <vt:variant>
        <vt:i4>0</vt:i4>
      </vt:variant>
      <vt:variant>
        <vt:i4>5</vt:i4>
      </vt:variant>
      <vt:variant>
        <vt:lpwstr/>
      </vt:variant>
      <vt:variant>
        <vt:lpwstr>_Toc144478181</vt:lpwstr>
      </vt:variant>
      <vt:variant>
        <vt:i4>1507379</vt:i4>
      </vt:variant>
      <vt:variant>
        <vt:i4>20</vt:i4>
      </vt:variant>
      <vt:variant>
        <vt:i4>0</vt:i4>
      </vt:variant>
      <vt:variant>
        <vt:i4>5</vt:i4>
      </vt:variant>
      <vt:variant>
        <vt:lpwstr/>
      </vt:variant>
      <vt:variant>
        <vt:lpwstr>_Toc144478180</vt:lpwstr>
      </vt:variant>
      <vt:variant>
        <vt:i4>1572915</vt:i4>
      </vt:variant>
      <vt:variant>
        <vt:i4>14</vt:i4>
      </vt:variant>
      <vt:variant>
        <vt:i4>0</vt:i4>
      </vt:variant>
      <vt:variant>
        <vt:i4>5</vt:i4>
      </vt:variant>
      <vt:variant>
        <vt:lpwstr/>
      </vt:variant>
      <vt:variant>
        <vt:lpwstr>_Toc144478179</vt:lpwstr>
      </vt:variant>
      <vt:variant>
        <vt:i4>1572915</vt:i4>
      </vt:variant>
      <vt:variant>
        <vt:i4>8</vt:i4>
      </vt:variant>
      <vt:variant>
        <vt:i4>0</vt:i4>
      </vt:variant>
      <vt:variant>
        <vt:i4>5</vt:i4>
      </vt:variant>
      <vt:variant>
        <vt:lpwstr/>
      </vt:variant>
      <vt:variant>
        <vt:lpwstr>_Toc144478178</vt:lpwstr>
      </vt:variant>
      <vt:variant>
        <vt:i4>524361</vt:i4>
      </vt:variant>
      <vt:variant>
        <vt:i4>3</vt:i4>
      </vt:variant>
      <vt:variant>
        <vt:i4>0</vt:i4>
      </vt:variant>
      <vt:variant>
        <vt:i4>5</vt:i4>
      </vt:variant>
      <vt:variant>
        <vt:lpwstr>https://urldefense.com/v3/__http:/creativecommons.org/licenses/by-nc-nd/4.0__;!!N96JrnIq8IfO5w!2xdh28bsNiQV2FqgV2OfXTIQQQ4Rbpj4ucvV879pAtMGRKa3xcKjK2ikYS-sM5Y-35ynPXYtoY-S$</vt:lpwstr>
      </vt:variant>
      <vt:variant>
        <vt:lpwstr/>
      </vt:variant>
      <vt:variant>
        <vt:i4>4456527</vt:i4>
      </vt:variant>
      <vt:variant>
        <vt:i4>0</vt:i4>
      </vt:variant>
      <vt:variant>
        <vt:i4>0</vt:i4>
      </vt:variant>
      <vt:variant>
        <vt:i4>5</vt:i4>
      </vt:variant>
      <vt:variant>
        <vt:lpwstr>https://urldefense.com/v3/__http:/en.viablecities.se__;!!N96JrnIq8IfO5w!2xdh28bsNiQV2FqgV2OfXTIQQQ4Rbpj4ucvV879pAtMGRKa3xcKjK2ikYS-sM5Y-35ynPRPMRQwA$</vt:lpwstr>
      </vt:variant>
      <vt:variant>
        <vt:lpwstr/>
      </vt:variant>
      <vt:variant>
        <vt:i4>5767177</vt:i4>
      </vt:variant>
      <vt:variant>
        <vt:i4>0</vt:i4>
      </vt:variant>
      <vt:variant>
        <vt:i4>0</vt:i4>
      </vt:variant>
      <vt:variant>
        <vt:i4>5</vt:i4>
      </vt:variant>
      <vt:variant>
        <vt:lpwstr>https://www.naturvardsverket.se/4ad5aa/contentassets/d985b4a05bf4493fb4f728cfa8537626/pm-uppdaterade-malscenarier.pdf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Tommaso Piseddu</dc:creator>
  <cp:keywords/>
  <dc:description/>
  <cp:lastModifiedBy>Marcus Lindeberg Goñi</cp:lastModifiedBy>
  <cp:revision>26</cp:revision>
  <cp:lastPrinted>2023-09-02T08:30:00Z</cp:lastPrinted>
  <dcterms:created xsi:type="dcterms:W3CDTF">2023-09-10T12:47:00Z</dcterms:created>
  <dcterms:modified xsi:type="dcterms:W3CDTF">2023-10-10T22:46:00Z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0x0101007E21D71CDDEDF44BB29CB26B2B112131</vt:lpwstr>
  </property>
  <property fmtid="{D5CDD505-2E9C-101B-9397-08002B2CF9AE}" pid="3" name="MediaServiceImageTags">
    <vt:lpwstr/>
  </property>
  <property fmtid="{D5CDD505-2E9C-101B-9397-08002B2CF9AE}" pid="4" name="GrammarlyDocumentId">
    <vt:lpwstr>3ab9a59ca64358b3f63b242437377708b00b4e9e6753c28b67025b1426eb3a92</vt:lpwstr>
  </property>
  <property fmtid="{D5CDD505-2E9C-101B-9397-08002B2CF9AE}" pid="5" name="ZOTERO_PREF_1">
    <vt:lpwstr>&lt;data data-version="3" zotero-version="6.0.26"&gt;&lt;session id="5S9Opugu"/&gt;&lt;style id="http://www.zotero.org/styles/journal-of-cleaner-production" hasBibliography="1" bibliographyStyleHasBeenSet="1"/&gt;&lt;prefs&gt;&lt;pref name="fieldType" value="Field"/&gt;&lt;/prefs&gt;&lt;/data&gt;</vt:lpwstr>
  </property>
</Properties>
</file>