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1.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S6</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S6</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0" w:name="references"/>
    <w:p>
      <w:pPr>
        <w:pStyle w:val="Heading2"/>
      </w:pPr>
      <w:r>
        <w:t xml:space="preserve">References</w:t>
      </w:r>
    </w:p>
    <w:bookmarkStart w:id="119"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5">
        <w:r>
          <w:rPr>
            <w:rStyle w:val="Hyperlink"/>
          </w:rPr>
          <w:t xml:space="preserve">https://doi.org/10.1371/journal.pone.0163962</w:t>
        </w:r>
      </w:hyperlink>
      <w:r>
        <w:t xml:space="preserve">.</w:t>
      </w:r>
    </w:p>
    <w:bookmarkEnd w:id="106"/>
    <w:bookmarkStart w:id="108"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7">
        <w:r>
          <w:rPr>
            <w:rStyle w:val="Hyperlink"/>
          </w:rPr>
          <w:t xml:space="preserve">https://doi.org/10.1038/s41586-019-1719-9</w:t>
        </w:r>
      </w:hyperlink>
      <w:r>
        <w:t xml:space="preserve">.</w:t>
      </w:r>
    </w:p>
    <w:bookmarkEnd w:id="108"/>
    <w:bookmarkStart w:id="109"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09"/>
    <w:bookmarkStart w:id="111"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0">
        <w:r>
          <w:rPr>
            <w:rStyle w:val="Hyperlink"/>
          </w:rPr>
          <w:t xml:space="preserve">https://doi.org/10.1093/nar/gkw879</w:t>
        </w:r>
      </w:hyperlink>
      <w:r>
        <w:t xml:space="preserve">.</w:t>
      </w:r>
    </w:p>
    <w:bookmarkEnd w:id="111"/>
    <w:bookmarkStart w:id="113"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2">
        <w:r>
          <w:rPr>
            <w:rStyle w:val="Hyperlink"/>
          </w:rPr>
          <w:t xml:space="preserve">https://doi.org/10.1371/journal.ppat.1006783</w:t>
        </w:r>
      </w:hyperlink>
      <w:r>
        <w:t xml:space="preserve">.</w:t>
      </w:r>
    </w:p>
    <w:bookmarkEnd w:id="113"/>
    <w:bookmarkStart w:id="114"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4"/>
    <w:bookmarkStart w:id="115"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5"/>
    <w:bookmarkStart w:id="11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6">
        <w:r>
          <w:rPr>
            <w:rStyle w:val="Hyperlink"/>
          </w:rPr>
          <w:t xml:space="preserve">https://doi.org/10.1186/s13059-019-1891-0</w:t>
        </w:r>
      </w:hyperlink>
      <w:r>
        <w:t xml:space="preserve">.</w:t>
      </w:r>
    </w:p>
    <w:bookmarkEnd w:id="117"/>
    <w:bookmarkStart w:id="118"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8"/>
    <w:bookmarkEnd w:id="119"/>
    <w:bookmarkEnd w:id="120"/>
    <w:bookmarkStart w:id="13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4" w:name="suppfig-depth"/>
          <w:p>
            <w:pPr>
              <w:pStyle w:val="Compact"/>
              <w:jc w:val="center"/>
            </w:pPr>
            <w:r>
              <w:drawing>
                <wp:inline>
                  <wp:extent cx="5943600" cy="3714749"/>
                  <wp:effectExtent b="0" l="0" r="0" t="0"/>
                  <wp:docPr descr="" title="" id="122" name="Picture"/>
                  <a:graphic>
                    <a:graphicData uri="http://schemas.openxmlformats.org/drawingml/2006/picture">
                      <pic:pic>
                        <pic:nvPicPr>
                          <pic:cNvPr descr="figureS1.png" id="123" name="Picture"/>
                          <pic:cNvPicPr>
                            <a:picLocks noChangeArrowheads="1" noChangeAspect="1"/>
                          </pic:cNvPicPr>
                        </pic:nvPicPr>
                        <pic:blipFill>
                          <a:blip r:embed="rId12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fig-genus"/>
          <w:p>
            <w:pPr>
              <w:pStyle w:val="Compact"/>
              <w:jc w:val="center"/>
            </w:pPr>
            <w:r>
              <w:drawing>
                <wp:inline>
                  <wp:extent cx="5943600" cy="3622765"/>
                  <wp:effectExtent b="0" l="0" r="0" t="0"/>
                  <wp:docPr descr="" title="" id="131" name="Picture"/>
                  <a:graphic>
                    <a:graphicData uri="http://schemas.openxmlformats.org/drawingml/2006/picture">
                      <pic:pic>
                        <pic:nvPicPr>
                          <pic:cNvPr descr="figureS2.png" id="132" name="Picture"/>
                          <pic:cNvPicPr>
                            <a:picLocks noChangeArrowheads="1" noChangeAspect="1"/>
                          </pic:cNvPicPr>
                        </pic:nvPicPr>
                        <pic:blipFill>
                          <a:blip r:embed="rId13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0.27% [0.16–0.40] and the study’s only nu detections (2/7327 libraries, HPV41), the profile of a sparse commensal reservoir rather than of any one disease; and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S6: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w:t>
            </w:r>
            <w:r>
              <w:t xml:space="preserve"> </w:t>
            </w:r>
            <w:r>
              <w:t xml:space="preserve">“other-tissue”</w:t>
            </w:r>
            <w:r>
              <w:t xml:space="preserve"> </w:t>
            </w:r>
            <w:r>
              <w:t xml:space="preserve">carcinoma and actinic-keratosis libraries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34"/>
        </w:tc>
      </w:tr>
    </w:tbl>
    <w:bookmarkEnd w:id="13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2026-07-10T15:46:06Z</dcterms:created>
  <dcterms:modified xsi:type="dcterms:W3CDTF">2026-07-10T15:46:06Z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