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80.png" ContentType="image/png"/>
  <Override PartName="/word/media/rId184.png" ContentType="image/png"/>
  <Override PartName="/word/media/rId188.png" ContentType="image/png"/>
  <Override PartName="/word/media/rId192.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immunosuppression or chronic inflammation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2022b)</w:t>
      </w:r>
      <w:r>
        <w:t xml:space="preserve">. Two routes have been proposed for the loss itself: ultraviolet-driven host mutations, for example in p53 or NOTCH, may make the viral oncogenes redundant so that the genome is no longer selected for, and genomic instability under ultraviolet exposure may impair episome replication and segregation between daughter cells</w:t>
      </w:r>
      <w:r>
        <w:t xml:space="preserve"> </w:t>
      </w:r>
      <w:r>
        <w:t xml:space="preserve">(Bruyere et al. 2026)</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Much of the apparent HPV signal in public transcriptomes likely reflects laboratory-derived artifacts, which must be separated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Viral transcription gives an independent check on that artifact. E1 is thought to be encoded only on polycistronic early mRNAs that also encode E2</w:t>
      </w:r>
      <w:r>
        <w:t xml:space="preserve"> </w:t>
      </w:r>
      <w:r>
        <w:t xml:space="preserve">(Rehm et al. 2022a; Sankovski et al. 2014)</w:t>
      </w:r>
      <w:r>
        <w:t xml:space="preserve">, so their counts should track one another unless integration disrupts E2. Cell lines carry integrated HPV DNA and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raw counts scale with viral load (the two EV libraries have over 12,000 chimeric reads each, spread across about 9,000 sites), whereas integration appears as junctions clustering at a single site. As an independent test of the marker in primary tissue of known progression, we scored a graded HPV16-positive cervical series, where the ratio rises with each grade: the median ratio runs from 0.36 in normal epithelium through 0.78 in high-grade lesion to 2.77 in carcinoma, a 7.7-fold rise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Late transcription falls away along the same axis. The carcinoma median still sits well below the cell-line median. This fits either a mixture of integrated and episomal genomes or admixture of non-tumor epithelium in a bulk biopsy. The rise in primary tissue suggests that the marker reflects viral integration as a biological process rather than merely culture-derived artifacts.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Viral genome state assessed by transcript analysis. (</w:t>
            </w:r>
            <w:r>
              <w:rPr>
                <w:b/>
                <w:bCs/>
              </w:rPr>
              <w:t xml:space="preserve">a</w:t>
            </w:r>
            <w:r>
              <w:t xml:space="preserve">) E1:E2 transcript ratio by group, log</w:t>
            </w:r>
            <w:r>
              <w:rPr>
                <w:vertAlign w:val="subscript"/>
              </w:rPr>
              <w:t xml:space="preserve">2</w:t>
            </w:r>
            <w:r>
              <w:t xml:space="preserve">((E1 + 0.5)/(E2 + 0.5)), for libraries with at least five combined reads; dashed line, parity. The episomal HPV31-positive HaCaT derivative falls among primary tissue. (</w:t>
            </w:r>
            <w:r>
              <w:rPr>
                <w:b/>
                <w:bCs/>
              </w:rPr>
              <w:t xml:space="preserve">b</w:t>
            </w:r>
            <w:r>
              <w:t xml:space="preserve">) Virus-host chimeric junctions: the fraction at a library’s most-supported coordinate pair against the raw junction count; dashed gray line, the 0.2 clustering threshold. (</w:t>
            </w:r>
            <w:r>
              <w:rPr>
                <w:b/>
                <w:bCs/>
              </w:rPr>
              <w:t xml:space="preserve">c</w:t>
            </w:r>
            <w:r>
              <w:t xml:space="preserve">) E1:E2 ratio in a graded HPV16-positive cervical series (SRP252916) of normal epithelium, high-grade squamous intraepithelial lesion (HSIL) and carcinoma, sequenced under one protocol. Open circles, libraries (</w:t>
            </w:r>
            <w:r>
              <w:rPr>
                <w:i/>
                <w:iCs/>
              </w:rPr>
              <w:t xml:space="preserve">n</w:t>
            </w:r>
            <w:r>
              <w:t xml:space="preserve"> </w:t>
            </w:r>
            <w:r>
              <w:t xml:space="preserve">= 3, 6 and 6 by grade; the HPV-negative controls returned no HPV and are not plotted); filled diamonds, arm medians joined by a solid line; dashed line, parity.</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Library chemistry also limits viral recovery, and it too fails to explain the gap.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transcription program makes the distinction visible (</w:t>
      </w:r>
      <w:hyperlink w:anchor="fig-orf">
        <w:r>
          <w:rPr>
            <w:rStyle w:val="Hyperlink"/>
          </w:rPr>
          <w:t xml:space="preserve">Figure 3</w:t>
        </w:r>
      </w:hyperlink>
      <w:r>
        <w:t xml:space="preserve">). Productive groups run the complete viral program, including the late mRNAs that encode the capsid proteins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Rows show the assigned-type catalog, the detection-level trace catalog and their union, collapsed from type to genus; a library contributes to at most one of the first two rows. Each point is the percentage of the group’s libraries carrying the genus (Beta-Binomial posterior mean, Beta(0.5, 0.5) prior), the bar its 95% credible interval, and the number above it the count of libraries. Gray crosses mark a genus never detected in that group, drawn at the floor of the log-scaled</w:t>
            </w:r>
            <w:r>
              <w:t xml:space="preserve"> </w:t>
            </w:r>
            <w:r>
              <w:rPr>
                <w:i/>
                <w:iCs/>
              </w:rPr>
              <w:t xml:space="preserve">y</w:t>
            </w:r>
            <w:r>
              <w:t xml:space="preserve">-axis, where the tick labeled 0 stands for zero.</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Transcriptional silence of HPV genomes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Most of the skin HPV DNA reservoir is transcriptionally silent. Re-tabulation of a Logan-wide papillomavirus catalog</w:t>
            </w:r>
            <w:r>
              <w:t xml:space="preserve"> </w:t>
            </w:r>
            <w:r>
              <w:t xml:space="preserve">(Shen et al. 2026)</w:t>
            </w:r>
            <w:r>
              <w:t xml:space="preserve"> </w:t>
            </w:r>
            <w:r>
              <w:t xml:space="preserve">by body site, restricted to skin (Methods; validation in</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(composition, not prevalence: a co-infected library counts under each type). Beside each bar are the type’s assigned and detection-level counts among the 7,800 unselected-skin RNA libraries, shaded where non-zero.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abundant</w:t>
            </w:r>
            <w:r>
              <w:t xml:space="preserve"> </w:t>
            </w:r>
            <w:r>
              <w:rPr>
                <w:i/>
                <w:iCs/>
              </w:rPr>
              <w:t xml:space="preserve">and</w:t>
            </w:r>
            <w:r>
              <w:t xml:space="preserve"> </w:t>
            </w:r>
            <w:r>
              <w:t xml:space="preserve">productive, is what the reservoir-to-disease inference assumes; HPV2 is its only occupant.</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Against the prior RNA-seq and in situ reports of silence in cutaneous carcinoma (Introduction), our study adds rigorous controls, a clear denominator, and a defined metric. We jointly analyze 406 cSCC/AK libraries and 7,800 unselected-skin libraries in one pipeline. We score productive replication, not just presence, against a baseline of confirmed productive lesions: the same instrument that finds no productive infection in cSCC/AK reports 93.2% productivity in warts.</w:t>
      </w:r>
    </w:p>
    <w:p>
      <w:pPr>
        <w:pStyle w:val="BodyText"/>
      </w:pPr>
      <w:r>
        <w:t xml:space="preserve">This result does not settle the mechanism, because all three models predict a declining viral signal along the progression axis. The hit-and-run model works because ultraviolet-induced host mutations can make E6 and E7 dispensable once a tumor is established</w:t>
      </w:r>
      <w:r>
        <w:t xml:space="preserve"> </w:t>
      </w:r>
      <w:r>
        <w:t xml:space="preserve">(Dorfer et al. 2021; Viarisio et al. 2018)</w:t>
      </w:r>
      <w:r>
        <w:t xml:space="preserve">, after which a genome nothing selects for may be lost from the expanding clone; impaired episome replication and segregation under ultraviolet exposure is a proposed additional route</w:t>
      </w:r>
      <w:r>
        <w:t xml:space="preserve"> </w:t>
      </w:r>
      <w:r>
        <w:t xml:space="preserve">(Bruyere et al. 2026)</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2022b)</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models. Nor does absent transcription imply clearance: episomal genomes may persist silently, or with intermittent activity, below the detection limit of bulk RNA sequencing. Absent productive transcription in established lesions does not exclude a transient viral contribution earlier in carcinogenesis.</w:t>
      </w:r>
    </w:p>
    <w:p>
      <w:pPr>
        <w:pStyle w:val="BodyText"/>
      </w:pPr>
      <w:r>
        <w:t xml:space="preserve">The elevated beta-HPV activity that Son and colleagues found in keratinocyte clones of sun-exposed skin</w:t>
      </w:r>
      <w:r>
        <w:t xml:space="preserve"> </w:t>
      </w:r>
      <w:r>
        <w:t xml:space="preserve">(Son et al. 2025)</w:t>
      </w:r>
      <w:r>
        <w:t xml:space="preserve"> </w:t>
      </w:r>
      <w:r>
        <w:t xml:space="preserve">does not conflict with our quiet reservoir, because we sequenced whole biopsies without sorting for ultraviolet exposure. A signal arising from small keratinocyte clones is diluted when averaged across an entire biopsy, a documented effect for cutaneous HPV</w:t>
      </w:r>
      <w:r>
        <w:t xml:space="preserve"> </w:t>
      </w:r>
      <w:r>
        <w:t xml:space="preserve">(Purdie et al. 2005)</w:t>
      </w:r>
      <w:r>
        <w:t xml:space="preserve">. We nevertheless agree on viral presence: we recovered trace HPV from 62.5% of AK libraries. HPV8 itself, however, was absent at any level from all 10,834 analyzed RNA libraries. That absence argues against persistent productive HPV8 transcription in established lesions while remaining compatible with transient, focal or latent activity. The nine-valent vaccine reduced the burden of actinic keratosis in a randomized trial</w:t>
      </w:r>
      <w:r>
        <w:t xml:space="preserve"> </w:t>
      </w:r>
      <w:r>
        <w:t xml:space="preserve">(Wenande et al. 2025)</w:t>
      </w:r>
      <w:r>
        <w:t xml:space="preserve">. It targets mucosal alpha types, not the resident beta reservoir, so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HPV12, HPV96 and HPV182 belong to the beta-HPV species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thus not a ceiling on what beta-HPV can do in skin. No productive HPV12, HPV96 or HPV182 has to our knowledge been described from public RNA-seq of primary skin.</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lacking reference genomes</w:t>
      </w:r>
      <w:r>
        <w:t xml:space="preserve"> </w:t>
      </w:r>
      <w:r>
        <w:t xml:space="preserve">(Bzhalava et al. 2014)</w:t>
      </w:r>
      <w:r>
        <w:t xml:space="preserve">. DNA data confirm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dominated by contamination.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Over 65% of viral sequences from 712 libraries group with reagents or protocols instead of actual specimens</w:t>
      </w:r>
      <w:r>
        <w:t xml:space="preserve"> </w:t>
      </w:r>
      <w:r>
        <w:t xml:space="preserve">(Asplund et al. 2019)</w:t>
      </w:r>
      <w:r>
        <w:t xml:space="preserve">, and re-analyses have invalidated major archive-scale microbial findings</w:t>
      </w:r>
      <w:r>
        <w:t xml:space="preserve"> </w:t>
      </w:r>
      <w:r>
        <w:t xml:space="preserve">(Gihawi et al. 2023)</w:t>
      </w:r>
      <w:r>
        <w:t xml:space="preserve">. Our safeguards are not individually new</w:t>
      </w:r>
      <w:r>
        <w:t xml:space="preserve"> </w:t>
      </w:r>
      <w:r>
        <w:t xml:space="preserve">(Cantalupo and Pipas 2019)</w:t>
      </w:r>
      <w:r>
        <w:t xml:space="preserve">; our contribution is quantifying the size of each artifact rather than merely asserting it.</w:t>
      </w:r>
    </w:p>
    <w:p>
      <w:pPr>
        <w:pStyle w:val="BodyText"/>
      </w:pPr>
      <w:r>
        <w:t xml:space="preserve">Petabase-scale surveys are now the standard method for establishing viral presence across body sites, but a presence catalog cannot measure biological activity. Because these surveys rely on sequence assembly, integrated genomes fail to assemble across the virus-host junction.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approaches a tautology, as the completeness criterion itself selects for episomal genomes in both tissues.</w:t>
      </w:r>
    </w:p>
    <w:p>
      <w:pPr>
        <w:pStyle w:val="BodyText"/>
      </w:pPr>
      <w:r>
        <w:t xml:space="preserve">Several limitations affect these findings, starting with the non-random nature of archival sampling, which makes the absolute healthy-skin rate an estimate. Sequencing chemistry could only be resolved for 62.2% of libraries, while input amount, RNA integrity, and fragment selection are entirely unrecoverable from the archived metadata. Because biopsy averaging dilutes focal transcription, our productivity estimates are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is productive in warts and epidermodysplasia verruciformis, but leaves only a trace, non-productive footprint in cutaneous squamous neoplasia, regardless of sequencing depth or library chemistry. This phenotype is the baseline any theory of beta-HPV in skin cancer must address. Because all major hypotheses predict this outcome, more precise measurement of viral activity will not separate them. That requires study designs that break the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4"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w:t>
      </w:r>
      <w:r>
        <w:t xml:space="preserve"> </w:t>
      </w:r>
      <w:hyperlink r:id="rId53">
        <w:r>
          <w:rPr>
            <w:rStyle w:val="Hyperlink"/>
          </w:rPr>
          <w:t xml:space="preserve">https://orcid.org/0000-0002-9447-1350</w:t>
        </w:r>
      </w:hyperlink>
    </w:p>
    <w:bookmarkEnd w:id="54"/>
    <w:bookmarkStart w:id="55"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5"/>
    <w:bookmarkStart w:id="58"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6">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7">
        <w:r>
          <w:rPr>
            <w:rStyle w:val="Hyperlink"/>
          </w:rPr>
          <w:t xml:space="preserve">https://pave.niaid.nih.gov</w:t>
        </w:r>
      </w:hyperlink>
      <w:r>
        <w:t xml:space="preserve">) and NCBI RefSeq. No new sequencing data were generated.</w:t>
      </w:r>
    </w:p>
    <w:bookmarkEnd w:id="58"/>
    <w:bookmarkStart w:id="59" w:name="conflict-of-interest"/>
    <w:p>
      <w:pPr>
        <w:pStyle w:val="Heading2"/>
      </w:pPr>
      <w:r>
        <w:t xml:space="preserve">Conflict of Interest</w:t>
      </w:r>
    </w:p>
    <w:p>
      <w:pPr>
        <w:pStyle w:val="FirstParagraph"/>
      </w:pPr>
      <w:r>
        <w:t xml:space="preserve">The authors state no conflict of interest.</w:t>
      </w:r>
    </w:p>
    <w:bookmarkEnd w:id="59"/>
    <w:bookmarkStart w:id="60" w:name="acknowledgments"/>
    <w:p>
      <w:pPr>
        <w:pStyle w:val="Heading2"/>
      </w:pPr>
      <w:r>
        <w:t xml:space="preserve">Acknowledgments</w:t>
      </w:r>
    </w:p>
    <w:p>
      <w:pPr>
        <w:pStyle w:val="FirstParagraph"/>
      </w:pPr>
      <w:r>
        <w:t xml:space="preserve">This research was supported by the Estonian Research Council grant PRG2707, held by Kristi Huik, whom we thank for supporting this work.</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60"/>
    <w:bookmarkStart w:id="61" w:name="author-contributions-statement"/>
    <w:p>
      <w:pPr>
        <w:pStyle w:val="Heading2"/>
      </w:pPr>
      <w:r>
        <w:t xml:space="preserve">Author Contributions Statement</w:t>
      </w:r>
    </w:p>
    <w:p>
      <w:pPr>
        <w:pStyle w:val="FirstParagraph"/>
      </w:pPr>
      <w:r>
        <w:t xml:space="preserve">Conceptualization: MP (lead), AP (equal), TP (equal); Data Curation: TP (lead); Formal Analysis: TP (lead); Investigation: TP (lead); Methodology: TP (lead); Project Administration: TP (lead); Software: TP (lead); Supervision: MP (lead), AP (supporting); Validation: AP (lead), TP (supporting); Visualization: TP (lead); Writing - Original Draft Preparation: TP (lead); Writing - Review and Editing: AP (equal), MP (equal), TP (equal).</w:t>
      </w:r>
    </w:p>
    <w:bookmarkEnd w:id="61"/>
    <w:bookmarkStart w:id="62"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62"/>
    <w:bookmarkStart w:id="164" w:name="references"/>
    <w:p>
      <w:pPr>
        <w:pStyle w:val="Heading2"/>
      </w:pPr>
      <w:r>
        <w:t xml:space="preserve">References</w:t>
      </w:r>
    </w:p>
    <w:bookmarkStart w:id="163" w:name="refs"/>
    <w:bookmarkStart w:id="64" w:name="ref-adey2013"/>
    <w:p>
      <w:pPr>
        <w:pStyle w:val="Bibliography"/>
      </w:pPr>
      <w:r>
        <w:t xml:space="preserve">Adey A, Burton JN, Kitzman JO, Hiatt JB, Lewis AP, Martin BK, et al.</w:t>
      </w:r>
      <w:r>
        <w:t xml:space="preserve"> </w:t>
      </w:r>
      <w:hyperlink r:id="rId63">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4"/>
    <w:bookmarkStart w:id="66" w:name="ref-antonsson2000"/>
    <w:p>
      <w:pPr>
        <w:pStyle w:val="Bibliography"/>
      </w:pPr>
      <w:r>
        <w:t xml:space="preserve">Antonsson A, Forslund O, Ekberg H, Sterner G, Hansson BG.</w:t>
      </w:r>
      <w:r>
        <w:t xml:space="preserve"> </w:t>
      </w:r>
      <w:hyperlink r:id="rId65">
        <w:r>
          <w:rPr>
            <w:rStyle w:val="Hyperlink"/>
          </w:rPr>
          <w:t xml:space="preserve">The ubiquity and impressive genomic diversity of human skin papillomaviruses suggest a commensalic nature of these viruses</w:t>
        </w:r>
      </w:hyperlink>
      <w:r>
        <w:t xml:space="preserve">. Journal of Virology. 2000;74(24):11636–41</w:t>
      </w:r>
    </w:p>
    <w:bookmarkEnd w:id="66"/>
    <w:bookmarkStart w:id="68" w:name="ref-arron2011"/>
    <w:p>
      <w:pPr>
        <w:pStyle w:val="Bibliography"/>
      </w:pPr>
      <w:r>
        <w:t xml:space="preserve">Arron ST, Graham Ruby J, Dybbro E, Ganem D, DeRisi JL.</w:t>
      </w:r>
      <w:r>
        <w:t xml:space="preserve"> </w:t>
      </w:r>
      <w:hyperlink r:id="rId67">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8"/>
    <w:bookmarkStart w:id="70" w:name="ref-arroyomuhr2021"/>
    <w:p>
      <w:pPr>
        <w:pStyle w:val="Bibliography"/>
      </w:pPr>
      <w:r>
        <w:t xml:space="preserve">Arroyo Mühr LS, Hultin E, Dillner J.</w:t>
      </w:r>
      <w:r>
        <w:t xml:space="preserve"> </w:t>
      </w:r>
      <w:hyperlink r:id="rId69">
        <w:r>
          <w:rPr>
            <w:rStyle w:val="Hyperlink"/>
          </w:rPr>
          <w:t xml:space="preserve">Transcription of human papillomaviruses in nonmelanoma skin cancers of the immunosuppressed</w:t>
        </w:r>
      </w:hyperlink>
      <w:r>
        <w:t xml:space="preserve">. International Journal of Cancer. 2021;149(6):1341–7</w:t>
      </w:r>
    </w:p>
    <w:bookmarkEnd w:id="70"/>
    <w:bookmarkStart w:id="72" w:name="ref-asplund2019"/>
    <w:p>
      <w:pPr>
        <w:pStyle w:val="Bibliography"/>
      </w:pPr>
      <w:r>
        <w:t xml:space="preserve">Asplund M, Kjartansdóttir KR, Mollerup S, Vinner L, Fridholm H, Herrera JAR, et al.</w:t>
      </w:r>
      <w:r>
        <w:t xml:space="preserve"> </w:t>
      </w:r>
      <w:hyperlink r:id="rId71">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2"/>
    <w:bookmarkStart w:id="74" w:name="ref-bhargava2025"/>
    <w:p>
      <w:pPr>
        <w:pStyle w:val="Bibliography"/>
      </w:pPr>
      <w:r>
        <w:t xml:space="preserve">Bhargava D, Labadie A, Hanson-Rios-Stutz RL, Goodyke A, Moses EM, Das AS, et al.</w:t>
      </w:r>
      <w:r>
        <w:t xml:space="preserve"> </w:t>
      </w:r>
      <w:hyperlink r:id="rId73">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4"/>
    <w:bookmarkStart w:id="76" w:name="ref-bruyere2026"/>
    <w:p>
      <w:pPr>
        <w:pStyle w:val="Bibliography"/>
      </w:pPr>
      <w:r>
        <w:t xml:space="preserve">Bruyere D, Delahaye T, Nikkels A, Herfs M.</w:t>
      </w:r>
      <w:r>
        <w:t xml:space="preserve"> </w:t>
      </w:r>
      <w:hyperlink r:id="rId75">
        <w:r>
          <w:rPr>
            <w:rStyle w:val="Hyperlink"/>
          </w:rPr>
          <w:t xml:space="preserve">Pathophysiology of cutaneous commensal human papillomaviruses</w:t>
        </w:r>
      </w:hyperlink>
      <w:r>
        <w:t xml:space="preserve">. Journal of Investigative Dermatology. 2026;146(7):1770–86</w:t>
      </w:r>
    </w:p>
    <w:bookmarkEnd w:id="76"/>
    <w:bookmarkStart w:id="78" w:name="ref-bzhalava2014"/>
    <w:p>
      <w:pPr>
        <w:pStyle w:val="Bibliography"/>
      </w:pPr>
      <w:r>
        <w:t xml:space="preserve">Bzhalava D, Arroyo Mühr LS, Lagheden C, Ekström J, Forslund O, Dillner J, et al.</w:t>
      </w:r>
      <w:r>
        <w:t xml:space="preserve"> </w:t>
      </w:r>
      <w:hyperlink r:id="rId77">
        <w:r>
          <w:rPr>
            <w:rStyle w:val="Hyperlink"/>
          </w:rPr>
          <w:t xml:space="preserve">Deep sequencing extends the diversity of human papillomaviruses in human skin</w:t>
        </w:r>
      </w:hyperlink>
      <w:r>
        <w:t xml:space="preserve">. Scientific Reports. 2014;4:5807</w:t>
      </w:r>
    </w:p>
    <w:bookmarkEnd w:id="78"/>
    <w:bookmarkStart w:id="80" w:name="ref-cantalupo2015"/>
    <w:p>
      <w:pPr>
        <w:pStyle w:val="Bibliography"/>
      </w:pPr>
      <w:r>
        <w:t xml:space="preserve">Cantalupo PG, Katz JP, Pipas JM.</w:t>
      </w:r>
      <w:r>
        <w:t xml:space="preserve"> </w:t>
      </w:r>
      <w:hyperlink r:id="rId79">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80"/>
    <w:bookmarkStart w:id="82" w:name="ref-cantalupo2019"/>
    <w:p>
      <w:pPr>
        <w:pStyle w:val="Bibliography"/>
      </w:pPr>
      <w:r>
        <w:t xml:space="preserve">Cantalupo PG, Pipas JM.</w:t>
      </w:r>
      <w:r>
        <w:t xml:space="preserve"> </w:t>
      </w:r>
      <w:hyperlink r:id="rId81">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82"/>
    <w:bookmarkStart w:id="84" w:name="ref-chen2018"/>
    <w:p>
      <w:pPr>
        <w:pStyle w:val="Bibliography"/>
      </w:pPr>
      <w:r>
        <w:t xml:space="preserve">Chen S, Zhou Y, Chen Y, Gu J.</w:t>
      </w:r>
      <w:r>
        <w:t xml:space="preserve"> </w:t>
      </w:r>
      <w:hyperlink r:id="rId83">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4"/>
    <w:bookmarkStart w:id="86" w:name="ref-chikhi2024"/>
    <w:p>
      <w:pPr>
        <w:pStyle w:val="Bibliography"/>
      </w:pPr>
      <w:r>
        <w:t xml:space="preserve">Chikhi R, Raffestin B, Korobeynikov A, Edgar R, Babaian A.</w:t>
      </w:r>
      <w:r>
        <w:t xml:space="preserve"> </w:t>
      </w:r>
      <w:hyperlink r:id="rId85">
        <w:r>
          <w:rPr>
            <w:rStyle w:val="Hyperlink"/>
          </w:rPr>
          <w:t xml:space="preserve">Logan: Planetary-scale genome assembly surveys life’s diversity</w:t>
        </w:r>
      </w:hyperlink>
      <w:r>
        <w:t xml:space="preserve">. bioRxiv. 2024;</w:t>
      </w:r>
    </w:p>
    <w:bookmarkEnd w:id="86"/>
    <w:bookmarkStart w:id="88" w:name="ref-danecek2021"/>
    <w:p>
      <w:pPr>
        <w:pStyle w:val="Bibliography"/>
      </w:pPr>
      <w:r>
        <w:t xml:space="preserve">Danecek P, Bonfield JK, Liddle J, Marshall J, Ohan V, Pollard MO, et al.</w:t>
      </w:r>
      <w:r>
        <w:t xml:space="preserve"> </w:t>
      </w:r>
      <w:hyperlink r:id="rId87">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8"/>
    <w:bookmarkStart w:id="90" w:name="ref-devitt2019"/>
    <w:p>
      <w:pPr>
        <w:pStyle w:val="Bibliography"/>
      </w:pPr>
      <w:r>
        <w:t xml:space="preserve">Devitt K, Hanson SJ, Tuong ZK, McMeniman E, Soyer HP, Frazer IH, et al.</w:t>
      </w:r>
      <w:r>
        <w:t xml:space="preserve"> </w:t>
      </w:r>
      <w:hyperlink r:id="rId89">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90"/>
    <w:bookmarkStart w:id="92" w:name="ref-ditommaso2017"/>
    <w:p>
      <w:pPr>
        <w:pStyle w:val="Bibliography"/>
      </w:pPr>
      <w:r>
        <w:t xml:space="preserve">Di Tommaso P, Chatzou M, Floden EW, Prieto Barja P, Palumbo E, Notredame C.</w:t>
      </w:r>
      <w:r>
        <w:t xml:space="preserve"> </w:t>
      </w:r>
      <w:hyperlink r:id="rId91">
        <w:r>
          <w:rPr>
            <w:rStyle w:val="Hyperlink"/>
          </w:rPr>
          <w:t xml:space="preserve">Nextflow enables reproducible computational workflows</w:t>
        </w:r>
      </w:hyperlink>
      <w:r>
        <w:t xml:space="preserve">. Nature Biotechnology. 2017;35(4):316–9</w:t>
      </w:r>
    </w:p>
    <w:bookmarkEnd w:id="92"/>
    <w:bookmarkStart w:id="94" w:name="ref-dobin2013"/>
    <w:p>
      <w:pPr>
        <w:pStyle w:val="Bibliography"/>
      </w:pPr>
      <w:r>
        <w:t xml:space="preserve">Dobin A, Davis CA, Schlesinger F, Drenkow J, Zaleski C, Jha S, et al.</w:t>
      </w:r>
      <w:r>
        <w:t xml:space="preserve"> </w:t>
      </w:r>
      <w:hyperlink r:id="rId93">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4"/>
    <w:bookmarkStart w:id="95" w:name="ref-doorbar2023"/>
    <w:p>
      <w:pPr>
        <w:pStyle w:val="Bibliography"/>
      </w:pPr>
      <w:r>
        <w:t xml:space="preserve">Doorbar J. The human papillomavirus twilight zone: Latency, immune control and subclinical infection. Tumour Virus Research. 2023;16:200268</w:t>
      </w:r>
    </w:p>
    <w:bookmarkEnd w:id="95"/>
    <w:bookmarkStart w:id="96" w:name="ref-doorbar2012"/>
    <w:p>
      <w:pPr>
        <w:pStyle w:val="Bibliography"/>
      </w:pPr>
      <w:r>
        <w:t xml:space="preserve">Doorbar J, Quint W, Banks L, Bravo IG, Stoler M, Broker TR, et al. The biology and life-cycle of human papillomaviruses. Vaccine. 2012;30(Suppl 5):F55–70</w:t>
      </w:r>
    </w:p>
    <w:bookmarkEnd w:id="96"/>
    <w:bookmarkStart w:id="97"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7"/>
    <w:bookmarkStart w:id="99" w:name="ref-edgar2022"/>
    <w:p>
      <w:pPr>
        <w:pStyle w:val="Bibliography"/>
      </w:pPr>
      <w:r>
        <w:t xml:space="preserve">Edgar RC, Taylor B, Lin V, Altman T, Barbera P, Meleshko D, et al.</w:t>
      </w:r>
      <w:r>
        <w:t xml:space="preserve"> </w:t>
      </w:r>
      <w:hyperlink r:id="rId98">
        <w:r>
          <w:rPr>
            <w:rStyle w:val="Hyperlink"/>
          </w:rPr>
          <w:t xml:space="preserve">Petabase-scale sequence alignment catalyses viral discovery</w:t>
        </w:r>
      </w:hyperlink>
      <w:r>
        <w:t xml:space="preserve">. Nature. 2022;602:142–7</w:t>
      </w:r>
    </w:p>
    <w:bookmarkEnd w:id="99"/>
    <w:bookmarkStart w:id="101" w:name="ref-fujimoto2019"/>
    <w:p>
      <w:pPr>
        <w:pStyle w:val="Bibliography"/>
      </w:pPr>
      <w:r>
        <w:t xml:space="preserve">Fujimoto M, Matsuzaki I, Takahashi Y, Iwahashi Y, Warigaya K, Kojima F, et al.</w:t>
      </w:r>
      <w:r>
        <w:t xml:space="preserve"> </w:t>
      </w:r>
      <w:hyperlink r:id="rId100">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101"/>
    <w:bookmarkStart w:id="103" w:name="ref-gihawi2023"/>
    <w:p>
      <w:pPr>
        <w:pStyle w:val="Bibliography"/>
      </w:pPr>
      <w:r>
        <w:t xml:space="preserve">Gihawi A, Ge Y, Lu J, Puiu D, Xu A, Cooper CS, et al.</w:t>
      </w:r>
      <w:r>
        <w:t xml:space="preserve"> </w:t>
      </w:r>
      <w:hyperlink r:id="rId102">
        <w:r>
          <w:rPr>
            <w:rStyle w:val="Hyperlink"/>
          </w:rPr>
          <w:t xml:space="preserve">Major data analysis errors invalidate cancer microbiome findings</w:t>
        </w:r>
      </w:hyperlink>
      <w:r>
        <w:t xml:space="preserve">. mBio. 2023;14(5):e0160723</w:t>
      </w:r>
    </w:p>
    <w:bookmarkEnd w:id="103"/>
    <w:bookmarkStart w:id="105"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4">
        <w:r>
          <w:rPr>
            <w:rStyle w:val="Hyperlink"/>
          </w:rPr>
          <w:t xml:space="preserve">https://mc-stan.org/rstanarm/</w:t>
        </w:r>
      </w:hyperlink>
    </w:p>
    <w:bookmarkEnd w:id="105"/>
    <w:bookmarkStart w:id="106" w:name="ref-howley2015"/>
    <w:p>
      <w:pPr>
        <w:pStyle w:val="Bibliography"/>
      </w:pPr>
      <w:r>
        <w:t xml:space="preserve">Howley PM, Pfister HJ. Beta genus papillomaviruses and skin cancer. Virology. 2015;479-480:290–6</w:t>
      </w:r>
    </w:p>
    <w:bookmarkEnd w:id="106"/>
    <w:bookmarkStart w:id="108" w:name="ref-hultin2019"/>
    <w:p>
      <w:pPr>
        <w:pStyle w:val="Bibliography"/>
      </w:pPr>
      <w:r>
        <w:t xml:space="preserve">Hultin E, Arroyo Mühr LS, Lagheden C, Dillner J.</w:t>
      </w:r>
      <w:r>
        <w:t xml:space="preserve"> </w:t>
      </w:r>
      <w:hyperlink r:id="rId107">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8"/>
    <w:bookmarkStart w:id="110" w:name="ref-kazemian2015"/>
    <w:p>
      <w:pPr>
        <w:pStyle w:val="Bibliography"/>
      </w:pPr>
      <w:r>
        <w:t xml:space="preserve">Kazemian M, Ren M, Lin J-X, Liao W, Spolski R, Leonard WJ.</w:t>
      </w:r>
      <w:r>
        <w:t xml:space="preserve"> </w:t>
      </w:r>
      <w:hyperlink r:id="rId109">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10"/>
    <w:bookmarkStart w:id="112" w:name="ref-lambert2021"/>
    <w:p>
      <w:pPr>
        <w:pStyle w:val="Bibliography"/>
      </w:pPr>
      <w:r>
        <w:t xml:space="preserve">Lambert PF, Münger K, Rösl F, Hasche D, Tommasino M.</w:t>
      </w:r>
      <w:r>
        <w:t xml:space="preserve"> </w:t>
      </w:r>
      <w:hyperlink r:id="rId111">
        <w:r>
          <w:rPr>
            <w:rStyle w:val="Hyperlink"/>
          </w:rPr>
          <w:t xml:space="preserve">Beta human papillomaviruses and skin cancer</w:t>
        </w:r>
      </w:hyperlink>
      <w:r>
        <w:t xml:space="preserve">. Nature. 2021;588(7838):E20–1</w:t>
      </w:r>
    </w:p>
    <w:bookmarkEnd w:id="112"/>
    <w:bookmarkStart w:id="114" w:name="ref-leiendecker2023"/>
    <w:p>
      <w:pPr>
        <w:pStyle w:val="Bibliography"/>
      </w:pPr>
      <w:r>
        <w:t xml:space="preserve">Leiendecker L, Neumann T, Jung PS, Cronin SM, Steinacker TL, Schleiffer A, et al.</w:t>
      </w:r>
      <w:r>
        <w:t xml:space="preserve"> </w:t>
      </w:r>
      <w:hyperlink r:id="rId113">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4"/>
    <w:bookmarkStart w:id="116" w:name="ref-leinonen2011"/>
    <w:p>
      <w:pPr>
        <w:pStyle w:val="Bibliography"/>
      </w:pPr>
      <w:r>
        <w:t xml:space="preserve">Leinonen R, Sugawara H, Shumway M.</w:t>
      </w:r>
      <w:r>
        <w:t xml:space="preserve"> </w:t>
      </w:r>
      <w:hyperlink r:id="rId115">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6"/>
    <w:bookmarkStart w:id="118" w:name="ref-liao2014"/>
    <w:p>
      <w:pPr>
        <w:pStyle w:val="Bibliography"/>
      </w:pPr>
      <w:r>
        <w:t xml:space="preserve">Liao Y, Smyth GK, Shi W.</w:t>
      </w:r>
      <w:r>
        <w:t xml:space="preserve"> </w:t>
      </w:r>
      <w:hyperlink r:id="rId117">
        <w:r>
          <w:rPr>
            <w:rStyle w:val="Hyperlink"/>
          </w:rPr>
          <w:t xml:space="preserve">featureCounts: An efficient general purpose program for assigning sequence reads to genomic features</w:t>
        </w:r>
      </w:hyperlink>
      <w:r>
        <w:t xml:space="preserve">. Bioinformatics. 2014;30(7):923–30</w:t>
      </w:r>
    </w:p>
    <w:bookmarkEnd w:id="118"/>
    <w:bookmarkStart w:id="120" w:name="ref-ma2014"/>
    <w:p>
      <w:pPr>
        <w:pStyle w:val="Bibliography"/>
      </w:pPr>
      <w:r>
        <w:t xml:space="preserve">Ma Y, Madupu R, Karaoz U, Nossa CW, Yang L, Yooseph S, et al.</w:t>
      </w:r>
      <w:r>
        <w:t xml:space="preserve"> </w:t>
      </w:r>
      <w:hyperlink r:id="rId119">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20"/>
    <w:bookmarkStart w:id="122" w:name="ref-oh2026"/>
    <w:p>
      <w:pPr>
        <w:pStyle w:val="Bibliography"/>
      </w:pPr>
      <w:r>
        <w:t xml:space="preserve">Oh CC, Tan GS, Ng JWK, Lim TKH, Cheo FF, Tang PY, et al.</w:t>
      </w:r>
      <w:r>
        <w:t xml:space="preserve"> </w:t>
      </w:r>
      <w:hyperlink r:id="rId121">
        <w:r>
          <w:rPr>
            <w:rStyle w:val="Hyperlink"/>
          </w:rPr>
          <w:t xml:space="preserve">Human papillomavirus diversity in asian individuals with cutaneous squamous cell carcinoma</w:t>
        </w:r>
      </w:hyperlink>
      <w:r>
        <w:t xml:space="preserve">. JAMA Dermatology. 2026;162(5):509–14</w:t>
      </w:r>
    </w:p>
    <w:bookmarkEnd w:id="122"/>
    <w:bookmarkStart w:id="124" w:name="ref-purdie2005"/>
    <w:p>
      <w:pPr>
        <w:pStyle w:val="Bibliography"/>
      </w:pPr>
      <w:r>
        <w:t xml:space="preserve">Purdie KJ, Surentheran T, Sterling JC, Bell L, McGregor JM, Proby CM, et al.</w:t>
      </w:r>
      <w:r>
        <w:t xml:space="preserve"> </w:t>
      </w:r>
      <w:hyperlink r:id="rId123">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4"/>
    <w:bookmarkStart w:id="126" w:name="ref-rehm2022jvi"/>
    <w:p>
      <w:pPr>
        <w:pStyle w:val="Bibliography"/>
      </w:pPr>
      <w:r>
        <w:t xml:space="preserve">Rehm TM, Straub E, Forchhammer S, Leiter U, Iftner T, Stubenrauch F.</w:t>
      </w:r>
      <w:r>
        <w:t xml:space="preserve"> </w:t>
      </w:r>
      <w:hyperlink r:id="rId125">
        <w:r>
          <w:rPr>
            <w:rStyle w:val="Hyperlink"/>
          </w:rPr>
          <w:t xml:space="preserve">Transcription properties of beta-</w:t>
        </w:r>
        <w:r>
          <w:rPr>
            <w:rStyle w:val="Hyperlink"/>
          </w:rPr>
          <w:t xml:space="preserve">HPV8</w:t>
        </w:r>
        <w:r>
          <w:rPr>
            <w:rStyle w:val="Hyperlink"/>
          </w:rPr>
          <w:t xml:space="preserve"> </w:t>
        </w:r>
        <w:r>
          <w:rPr>
            <w:rStyle w:val="Hyperlink"/>
          </w:rPr>
          <w:t xml:space="preserve">and</w:t>
        </w:r>
        <w:r>
          <w:rPr>
            <w:rStyle w:val="Hyperlink"/>
          </w:rPr>
          <w:t xml:space="preserve"> </w:t>
        </w:r>
        <w:r>
          <w:rPr>
            <w:rStyle w:val="Hyperlink"/>
          </w:rPr>
          <w:t xml:space="preserve">HPV38</w:t>
        </w:r>
        <w:r>
          <w:rPr>
            <w:rStyle w:val="Hyperlink"/>
          </w:rPr>
          <w:t xml:space="preserve"> </w:t>
        </w:r>
        <w:r>
          <w:rPr>
            <w:rStyle w:val="Hyperlink"/>
          </w:rPr>
          <w:t xml:space="preserve">genomes in human keratinocytes</w:t>
        </w:r>
      </w:hyperlink>
      <w:r>
        <w:t xml:space="preserve">. Journal of Virology. 2022 a;96(23):e01498–22</w:t>
      </w:r>
    </w:p>
    <w:bookmarkEnd w:id="126"/>
    <w:bookmarkStart w:id="128" w:name="ref-rehm2022"/>
    <w:p>
      <w:pPr>
        <w:pStyle w:val="Bibliography"/>
      </w:pPr>
      <w:r>
        <w:t xml:space="preserve">Rehm TM, Straub E, Iftner T, Stubenrauch F.</w:t>
      </w:r>
      <w:r>
        <w:t xml:space="preserve"> </w:t>
      </w:r>
      <w:hyperlink r:id="rId127">
        <w:r>
          <w:rPr>
            <w:rStyle w:val="Hyperlink"/>
          </w:rPr>
          <w:t xml:space="preserve">Restriction of viral gene expression and replication prevents immortalization of human keratinocytes by a beta-human papillomavirus</w:t>
        </w:r>
      </w:hyperlink>
      <w:r>
        <w:t xml:space="preserve">. Proceedings of the National Academy of Sciences. 2022 b;119(11):e2118930119</w:t>
      </w:r>
    </w:p>
    <w:bookmarkEnd w:id="128"/>
    <w:bookmarkStart w:id="130" w:name="ref-rollison2021"/>
    <w:p>
      <w:pPr>
        <w:pStyle w:val="Bibliography"/>
      </w:pPr>
      <w:r>
        <w:t xml:space="preserve">Rollison DE, Amorrortu RP, Zhao Y, Messina JL, Schell MJ, Fenske NA, et al.</w:t>
      </w:r>
      <w:r>
        <w:t xml:space="preserve"> </w:t>
      </w:r>
      <w:hyperlink r:id="rId129">
        <w:r>
          <w:rPr>
            <w:rStyle w:val="Hyperlink"/>
          </w:rPr>
          <w:t xml:space="preserve">Cutaneous human papillomaviruses and the risk of keratinocyte carcinomas</w:t>
        </w:r>
      </w:hyperlink>
      <w:r>
        <w:t xml:space="preserve">. Cancer Research. 2021;81(17):4628–38</w:t>
      </w:r>
    </w:p>
    <w:bookmarkEnd w:id="130"/>
    <w:bookmarkStart w:id="132" w:name="ref-rollison2019sites"/>
    <w:p>
      <w:pPr>
        <w:pStyle w:val="Bibliography"/>
      </w:pPr>
      <w:r>
        <w:t xml:space="preserve">Rollison DE, Schell MJ, Fenske NA, Cherpelis B, Messina JL, Giuliano AR, et al.</w:t>
      </w:r>
      <w:r>
        <w:t xml:space="preserve"> </w:t>
      </w:r>
      <w:hyperlink r:id="rId131">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32"/>
    <w:bookmarkStart w:id="134" w:name="ref-rollison2019"/>
    <w:p>
      <w:pPr>
        <w:pStyle w:val="Bibliography"/>
      </w:pPr>
      <w:r>
        <w:t xml:space="preserve">Rollison DE, Viarisio D, Amorrortu RP, Gheit T, Tommasino M.</w:t>
      </w:r>
      <w:r>
        <w:t xml:space="preserve"> </w:t>
      </w:r>
      <w:hyperlink r:id="rId133">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4"/>
    <w:bookmarkStart w:id="136" w:name="ref-saeidian2023"/>
    <w:p>
      <w:pPr>
        <w:pStyle w:val="Bibliography"/>
      </w:pPr>
      <w:r>
        <w:t xml:space="preserve">Saeidian AH, Youssefian L, Naji M, Mahmoudi H, Barnada SM, Huang C, et al.</w:t>
      </w:r>
      <w:r>
        <w:t xml:space="preserve"> </w:t>
      </w:r>
      <w:hyperlink r:id="rId135">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6"/>
    <w:bookmarkStart w:id="138" w:name="ref-sankovski2014"/>
    <w:p>
      <w:pPr>
        <w:pStyle w:val="Bibliography"/>
      </w:pPr>
      <w:r>
        <w:t xml:space="preserve">Sankovski E, Männik A, Geimanen J, Ustav E, Ustav M.</w:t>
      </w:r>
      <w:r>
        <w:t xml:space="preserve"> </w:t>
      </w:r>
      <w:hyperlink r:id="rId137">
        <w:r>
          <w:rPr>
            <w:rStyle w:val="Hyperlink"/>
          </w:rPr>
          <w:t xml:space="preserve">Mapping of betapapillomavirus human papillomavirus 5 transcription and characterization of viral-genome replication function</w:t>
        </w:r>
      </w:hyperlink>
      <w:r>
        <w:t xml:space="preserve">. Journal of Virology. 2014;88(2):961–73</w:t>
      </w:r>
    </w:p>
    <w:bookmarkEnd w:id="138"/>
    <w:bookmarkStart w:id="140" w:name="ref-selitsky2020"/>
    <w:p>
      <w:pPr>
        <w:pStyle w:val="Bibliography"/>
      </w:pPr>
      <w:r>
        <w:t xml:space="preserve">Selitsky SR, Marron D, Hollern D, Mose LE, Hoadley KA, Jones C, et al.</w:t>
      </w:r>
      <w:r>
        <w:t xml:space="preserve"> </w:t>
      </w:r>
      <w:hyperlink r:id="rId139">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40"/>
    <w:bookmarkStart w:id="142" w:name="ref-shenpv2026"/>
    <w:p>
      <w:pPr>
        <w:pStyle w:val="Bibliography"/>
      </w:pPr>
      <w:r>
        <w:t xml:space="preserve">Shen JYQ, Chikhi R, Korobeynikov A, Babaian A.</w:t>
      </w:r>
      <w:r>
        <w:t xml:space="preserve"> </w:t>
      </w:r>
      <w:hyperlink r:id="rId141">
        <w:r>
          <w:rPr>
            <w:rStyle w:val="Hyperlink"/>
          </w:rPr>
          <w:t xml:space="preserve">Petabase-scale papillomavirus discovery</w:t>
        </w:r>
      </w:hyperlink>
      <w:r>
        <w:t xml:space="preserve">. bioRxiv. 2026;</w:t>
      </w:r>
    </w:p>
    <w:bookmarkEnd w:id="142"/>
    <w:bookmarkStart w:id="144" w:name="ref-shen2016"/>
    <w:p>
      <w:pPr>
        <w:pStyle w:val="Bibliography"/>
      </w:pPr>
      <w:r>
        <w:t xml:space="preserve">Shen W, Le S, Li Y, Hu F.</w:t>
      </w:r>
      <w:r>
        <w:t xml:space="preserve"> </w:t>
      </w:r>
      <w:hyperlink r:id="rId143">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44"/>
    <w:bookmarkStart w:id="146" w:name="ref-son2025"/>
    <w:p>
      <w:pPr>
        <w:pStyle w:val="Bibliography"/>
      </w:pPr>
      <w:r>
        <w:t xml:space="preserve">Son HG, Ha DT, Xia Y, Li T, Blandin J, Oka T, et al.</w:t>
      </w:r>
      <w:r>
        <w:t xml:space="preserve"> </w:t>
      </w:r>
      <w:hyperlink r:id="rId145">
        <w:r>
          <w:rPr>
            <w:rStyle w:val="Hyperlink"/>
          </w:rPr>
          <w:t xml:space="preserve">Commensal papillomavirus immunity preserves the homeostasis of highly mutated normal skin</w:t>
        </w:r>
      </w:hyperlink>
      <w:r>
        <w:t xml:space="preserve">. Cancer Cell. 2025;43(1):36–48.e10</w:t>
      </w:r>
    </w:p>
    <w:bookmarkEnd w:id="146"/>
    <w:bookmarkStart w:id="148" w:name="ref-strickley2019"/>
    <w:p>
      <w:pPr>
        <w:pStyle w:val="Bibliography"/>
      </w:pPr>
      <w:r>
        <w:t xml:space="preserve">Strickley JD, Messerschmidt JL, Awad ME, Li T, Hasegawa T, Ha DT, et al.</w:t>
      </w:r>
      <w:r>
        <w:t xml:space="preserve"> </w:t>
      </w:r>
      <w:hyperlink r:id="rId147">
        <w:r>
          <w:rPr>
            <w:rStyle w:val="Hyperlink"/>
          </w:rPr>
          <w:t xml:space="preserve">Immunity to commensal papillomaviruses protects against skin cancer</w:t>
        </w:r>
      </w:hyperlink>
      <w:r>
        <w:t xml:space="preserve">. Nature. 2019;575(7783):519–22</w:t>
      </w:r>
    </w:p>
    <w:bookmarkEnd w:id="148"/>
    <w:bookmarkStart w:id="150" w:name="ref-strickley2021"/>
    <w:p>
      <w:pPr>
        <w:pStyle w:val="Bibliography"/>
      </w:pPr>
      <w:r>
        <w:t xml:space="preserve">Strickley JD, Messerschmidt JL, Jenson AB, Joh J, Demehri S.</w:t>
      </w:r>
      <w:r>
        <w:t xml:space="preserve"> </w:t>
      </w:r>
      <w:hyperlink r:id="rId149">
        <w:r>
          <w:rPr>
            <w:rStyle w:val="Hyperlink"/>
          </w:rPr>
          <w:t xml:space="preserve">Reply to: Beta human papillomaviruses and skin cancer</w:t>
        </w:r>
      </w:hyperlink>
      <w:r>
        <w:t xml:space="preserve">. Nature. 2021;588(7838):E22–3</w:t>
      </w:r>
    </w:p>
    <w:bookmarkEnd w:id="150"/>
    <w:bookmarkStart w:id="152" w:name="ref-vandoorslaer2017"/>
    <w:p>
      <w:pPr>
        <w:pStyle w:val="Bibliography"/>
      </w:pPr>
      <w:r>
        <w:t xml:space="preserve">Van Doorslaer K, Li Z, Xirasagar S, Maes P, Kaminsky D, Liou D, et al.</w:t>
      </w:r>
      <w:r>
        <w:t xml:space="preserve"> </w:t>
      </w:r>
      <w:hyperlink r:id="rId151">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52"/>
    <w:bookmarkStart w:id="154" w:name="ref-vandiver2021"/>
    <w:p>
      <w:pPr>
        <w:pStyle w:val="Bibliography"/>
      </w:pPr>
      <w:r>
        <w:t xml:space="preserve">Vandiver AR, Thomas BJ, Karimzada M, Knowles BC, Botten GA, Spreafico R, et al.</w:t>
      </w:r>
      <w:r>
        <w:t xml:space="preserve"> </w:t>
      </w:r>
      <w:hyperlink r:id="rId153">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54"/>
    <w:bookmarkStart w:id="156" w:name="ref-viarisio2018"/>
    <w:p>
      <w:pPr>
        <w:pStyle w:val="Bibliography"/>
      </w:pPr>
      <w:r>
        <w:t xml:space="preserve">Viarisio D, Müller-Decker K, Accardi R, Robitaille A, Dürst M, Beer K, et al.</w:t>
      </w:r>
      <w:r>
        <w:t xml:space="preserve"> </w:t>
      </w:r>
      <w:hyperlink r:id="rId155">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6"/>
    <w:bookmarkStart w:id="158" w:name="ref-weissenborn2012"/>
    <w:p>
      <w:pPr>
        <w:pStyle w:val="Bibliography"/>
      </w:pPr>
      <w:r>
        <w:t xml:space="preserve">Weissenborn S, Neale RE, Waterboer T, Abeni D, Bouwes Bavinck JN, Green AC, et al.</w:t>
      </w:r>
      <w:r>
        <w:t xml:space="preserve"> </w:t>
      </w:r>
      <w:hyperlink r:id="rId157">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8"/>
    <w:bookmarkStart w:id="160" w:name="ref-wenande2025"/>
    <w:p>
      <w:pPr>
        <w:pStyle w:val="Bibliography"/>
      </w:pPr>
      <w:r>
        <w:t xml:space="preserve">Wenande E, Hastrup A, Wiegell S, Philipsen PA, Thomsen NB, Demehri S, et al.</w:t>
      </w:r>
      <w:r>
        <w:t xml:space="preserve"> </w:t>
      </w:r>
      <w:hyperlink r:id="rId159">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60"/>
    <w:bookmarkStart w:id="162" w:name="ref-wood2019"/>
    <w:p>
      <w:pPr>
        <w:pStyle w:val="Bibliography"/>
      </w:pPr>
      <w:r>
        <w:t xml:space="preserve">Wood DE, Lu J, Langmead B.</w:t>
      </w:r>
      <w:r>
        <w:t xml:space="preserve"> </w:t>
      </w:r>
      <w:hyperlink r:id="rId161">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62"/>
    <w:bookmarkEnd w:id="163"/>
    <w:bookmarkEnd w:id="164"/>
    <w:bookmarkStart w:id="210" w:name="supplementary-material"/>
    <w:p>
      <w:pPr>
        <w:pStyle w:val="Heading1"/>
      </w:pPr>
      <w:r>
        <w:t xml:space="preserve">Supplementary Material</w:t>
      </w:r>
    </w:p>
    <w:bookmarkStart w:id="165" w:name="supplementary-materials-and-methods"/>
    <w:p>
      <w:pPr>
        <w:pStyle w:val="Heading2"/>
      </w:pPr>
      <w:r>
        <w:t xml:space="preserve">Supplementary Materials and Methods</w:t>
      </w:r>
    </w:p>
    <w:bookmarkEnd w:id="165"/>
    <w:bookmarkStart w:id="179" w:name="methods"/>
    <w:p>
      <w:pPr>
        <w:pStyle w:val="Heading2"/>
      </w:pPr>
      <w:r>
        <w:t xml:space="preserve">Methods</w:t>
      </w:r>
    </w:p>
    <w:bookmarkStart w:id="166"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6"/>
    <w:bookmarkStart w:id="167"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7"/>
    <w:bookmarkStart w:id="168"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8"/>
    <w:bookmarkStart w:id="169"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9"/>
    <w:bookmarkStart w:id="170"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70"/>
    <w:bookmarkStart w:id="171"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71"/>
    <w:bookmarkStart w:id="172"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72"/>
    <w:bookmarkStart w:id="173"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73"/>
    <w:bookmarkStart w:id="174"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4"/>
    <w:bookmarkStart w:id="175"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5"/>
    <w:bookmarkStart w:id="176"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6"/>
    <w:bookmarkStart w:id="177"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7"/>
    <w:bookmarkStart w:id="178"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8"/>
    <w:bookmarkEnd w:id="179"/>
    <w:bookmarkStart w:id="207"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83" w:name="suppfig-depth"/>
          <w:p>
            <w:pPr>
              <w:pStyle w:val="Compact"/>
              <w:jc w:val="center"/>
            </w:pPr>
            <w:r>
              <w:drawing>
                <wp:inline>
                  <wp:extent cx="5943600" cy="3714749"/>
                  <wp:effectExtent b="0" l="0" r="0" t="0"/>
                  <wp:docPr descr="" title="" id="181" name="Picture"/>
                  <a:graphic>
                    <a:graphicData uri="http://schemas.openxmlformats.org/drawingml/2006/picture">
                      <pic:pic>
                        <pic:nvPicPr>
                          <pic:cNvPr descr="figureS1.png" id="182" name="Picture"/>
                          <pic:cNvPicPr>
                            <a:picLocks noChangeArrowheads="1" noChangeAspect="1"/>
                          </pic:cNvPicPr>
                        </pic:nvPicPr>
                        <pic:blipFill>
                          <a:blip r:embed="rId180"/>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7" w:name="suppfig-trace"/>
          <w:p>
            <w:pPr>
              <w:pStyle w:val="Compact"/>
              <w:jc w:val="center"/>
            </w:pPr>
            <w:r>
              <w:drawing>
                <wp:inline>
                  <wp:extent cx="5943600" cy="3302000"/>
                  <wp:effectExtent b="0" l="0" r="0" t="0"/>
                  <wp:docPr descr="" title="" id="185" name="Picture"/>
                  <a:graphic>
                    <a:graphicData uri="http://schemas.openxmlformats.org/drawingml/2006/picture">
                      <pic:pic>
                        <pic:nvPicPr>
                          <pic:cNvPr descr="figureS2.png" id="186" name="Picture"/>
                          <pic:cNvPicPr>
                            <a:picLocks noChangeArrowheads="1" noChangeAspect="1"/>
                          </pic:cNvPicPr>
                        </pic:nvPicPr>
                        <pic:blipFill>
                          <a:blip r:embed="rId184"/>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fig-types"/>
          <w:p>
            <w:pPr>
              <w:pStyle w:val="Compact"/>
              <w:jc w:val="center"/>
            </w:pPr>
            <w:r>
              <w:drawing>
                <wp:inline>
                  <wp:extent cx="5943600" cy="2993813"/>
                  <wp:effectExtent b="0" l="0" r="0" t="0"/>
                  <wp:docPr descr="" title="" id="189" name="Picture"/>
                  <a:graphic>
                    <a:graphicData uri="http://schemas.openxmlformats.org/drawingml/2006/picture">
                      <pic:pic>
                        <pic:nvPicPr>
                          <pic:cNvPr descr="figureS3.png" id="190" name="Picture"/>
                          <pic:cNvPicPr>
                            <a:picLocks noChangeArrowheads="1" noChangeAspect="1"/>
                          </pic:cNvPicPr>
                        </pic:nvPicPr>
                        <pic:blipFill>
                          <a:blip r:embed="rId188"/>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5" w:name="suppfig-reservoir-gut"/>
          <w:p>
            <w:pPr>
              <w:pStyle w:val="Compact"/>
              <w:jc w:val="center"/>
            </w:pPr>
            <w:r>
              <w:drawing>
                <wp:inline>
                  <wp:extent cx="5943600" cy="4302034"/>
                  <wp:effectExtent b="0" l="0" r="0" t="0"/>
                  <wp:docPr descr="" title="" id="193" name="Picture"/>
                  <a:graphic>
                    <a:graphicData uri="http://schemas.openxmlformats.org/drawingml/2006/picture">
                      <pic:pic>
                        <pic:nvPicPr>
                          <pic:cNvPr descr="figureS4.png" id="194" name="Picture"/>
                          <pic:cNvPicPr>
                            <a:picLocks noChangeArrowheads="1" noChangeAspect="1"/>
                          </pic:cNvPicPr>
                        </pic:nvPicPr>
                        <pic:blipFill>
                          <a:blip r:embed="rId192"/>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fig-bayes"/>
          <w:p>
            <w:pPr>
              <w:pStyle w:val="Compact"/>
              <w:jc w:val="center"/>
            </w:pPr>
            <w:r>
              <w:drawing>
                <wp:inline>
                  <wp:extent cx="5943600" cy="2905759"/>
                  <wp:effectExtent b="0" l="0" r="0" t="0"/>
                  <wp:docPr descr="" title="" id="197" name="Picture"/>
                  <a:graphic>
                    <a:graphicData uri="http://schemas.openxmlformats.org/drawingml/2006/picture">
                      <pic:pic>
                        <pic:nvPicPr>
                          <pic:cNvPr descr="figureS5.png" id="198" name="Picture"/>
                          <pic:cNvPicPr>
                            <a:picLocks noChangeArrowheads="1" noChangeAspect="1"/>
                          </pic:cNvPicPr>
                        </pic:nvPicPr>
                        <pic:blipFill>
                          <a:blip r:embed="rId196"/>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6"/>
        </w:tc>
      </w:tr>
    </w:tbl>
    <w:bookmarkEnd w:id="207"/>
    <w:bookmarkStart w:id="209"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8"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8"/>
        </w:tc>
      </w:tr>
    </w:tbl>
    <w:bookmarkEnd w:id="209"/>
    <w:bookmarkEnd w:id="21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hyperlink" Id="rId159" Target="https://doi.org/10.1001/jamadermatol.2025.0531" TargetMode="External" /><Relationship Type="http://schemas.openxmlformats.org/officeDocument/2006/relationships/hyperlink" Id="rId121" Target="https://doi.org/10.1001/jamadermatol.2026.0308" TargetMode="External" /><Relationship Type="http://schemas.openxmlformats.org/officeDocument/2006/relationships/hyperlink" Id="rId69" Target="https://doi.org/10.1002/ijc.33683" TargetMode="External" /><Relationship Type="http://schemas.openxmlformats.org/officeDocument/2006/relationships/hyperlink" Id="rId157" Target="https://doi.org/10.1007/s00430-011-0212-3" TargetMode="External" /><Relationship Type="http://schemas.openxmlformats.org/officeDocument/2006/relationships/hyperlink" Id="rId145" Target="https://doi.org/10.1016/j.ccell.2024.11.013" TargetMode="External" /><Relationship Type="http://schemas.openxmlformats.org/officeDocument/2006/relationships/hyperlink" Id="rId71" Target="https://doi.org/10.1016/j.cmi.2019.04.028" TargetMode="External" /><Relationship Type="http://schemas.openxmlformats.org/officeDocument/2006/relationships/hyperlink" Id="rId81" Target="https://doi.org/10.1016/j.coviro.2019.07.010" TargetMode="External" /><Relationship Type="http://schemas.openxmlformats.org/officeDocument/2006/relationships/hyperlink" Id="rId75" Target="https://doi.org/10.1016/j.jid.2026.02.011" TargetMode="External" /><Relationship Type="http://schemas.openxmlformats.org/officeDocument/2006/relationships/hyperlink" Id="rId89" Target="https://doi.org/10.1016/j.virol.2019.08.007" TargetMode="External" /><Relationship Type="http://schemas.openxmlformats.org/officeDocument/2006/relationships/hyperlink" Id="rId67" Target="https://doi.org/10.1038/jid.2011.91" TargetMode="External" /><Relationship Type="http://schemas.openxmlformats.org/officeDocument/2006/relationships/hyperlink" Id="rId63"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47" Target="https://doi.org/10.1038/s41586-019-1719-9" TargetMode="External" /><Relationship Type="http://schemas.openxmlformats.org/officeDocument/2006/relationships/hyperlink" Id="rId111" Target="https://doi.org/10.1038/s41586-020-3023-0" TargetMode="External" /><Relationship Type="http://schemas.openxmlformats.org/officeDocument/2006/relationships/hyperlink" Id="rId149"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77" Target="https://doi.org/10.1038/srep05807" TargetMode="External" /><Relationship Type="http://schemas.openxmlformats.org/officeDocument/2006/relationships/hyperlink" Id="rId127" Target="https://doi.org/10.1073/pnas.2118930119" TargetMode="External" /><Relationship Type="http://schemas.openxmlformats.org/officeDocument/2006/relationships/hyperlink" Id="rId93" Target="https://doi.org/10.1093/bioinformatics/bts635" TargetMode="External" /><Relationship Type="http://schemas.openxmlformats.org/officeDocument/2006/relationships/hyperlink" Id="rId117" Target="https://doi.org/10.1093/bioinformatics/btt656" TargetMode="External" /><Relationship Type="http://schemas.openxmlformats.org/officeDocument/2006/relationships/hyperlink" Id="rId83" Target="https://doi.org/10.1093/bioinformatics/bty560" TargetMode="External" /><Relationship Type="http://schemas.openxmlformats.org/officeDocument/2006/relationships/hyperlink" Id="rId87" Target="https://doi.org/10.1093/gigascience/giab008" TargetMode="External" /><Relationship Type="http://schemas.openxmlformats.org/officeDocument/2006/relationships/hyperlink" Id="rId131" Target="https://doi.org/10.1093/infdis/jiy577" TargetMode="External" /><Relationship Type="http://schemas.openxmlformats.org/officeDocument/2006/relationships/hyperlink" Id="rId115" Target="https://doi.org/10.1093/nar/gkq1019" TargetMode="External" /><Relationship Type="http://schemas.openxmlformats.org/officeDocument/2006/relationships/hyperlink" Id="rId151" Target="https://doi.org/10.1093/nar/gkw879" TargetMode="External" /><Relationship Type="http://schemas.openxmlformats.org/officeDocument/2006/relationships/hyperlink" Id="rId100" Target="https://doi.org/10.1097/DAD.0000000000001289" TargetMode="External" /><Relationship Type="http://schemas.openxmlformats.org/officeDocument/2006/relationships/hyperlink" Id="rId85" Target="https://doi.org/10.1101/2024.07.30.605881" TargetMode="External" /><Relationship Type="http://schemas.openxmlformats.org/officeDocument/2006/relationships/hyperlink" Id="rId153" Target="https://doi.org/10.1111/exd.14385" TargetMode="External" /><Relationship Type="http://schemas.openxmlformats.org/officeDocument/2006/relationships/hyperlink" Id="rId123" Target="https://doi.org/10.1111/j.0022-202X.2005.23635.x" TargetMode="External" /><Relationship Type="http://schemas.openxmlformats.org/officeDocument/2006/relationships/hyperlink" Id="rId119" Target="https://doi.org/10.1128/JVI.00093-14" TargetMode="External" /><Relationship Type="http://schemas.openxmlformats.org/officeDocument/2006/relationships/hyperlink" Id="rId109" Target="https://doi.org/10.1128/JVI.00822-15" TargetMode="External" /><Relationship Type="http://schemas.openxmlformats.org/officeDocument/2006/relationships/hyperlink" Id="rId133" Target="https://doi.org/10.1128/JVI.01003-18" TargetMode="External" /><Relationship Type="http://schemas.openxmlformats.org/officeDocument/2006/relationships/hyperlink" Id="rId137" Target="https://doi.org/10.1128/JVI.01841-13" TargetMode="External" /><Relationship Type="http://schemas.openxmlformats.org/officeDocument/2006/relationships/hyperlink" Id="rId79" Target="https://doi.org/10.1128/JVI.03365-14" TargetMode="External" /><Relationship Type="http://schemas.openxmlformats.org/officeDocument/2006/relationships/hyperlink" Id="rId65" Target="https://doi.org/10.1128/JVI.74.24.11636-11641.2000" TargetMode="External" /><Relationship Type="http://schemas.openxmlformats.org/officeDocument/2006/relationships/hyperlink" Id="rId125" Target="https://doi.org/10.1128/jvi.01498-22" TargetMode="External" /><Relationship Type="http://schemas.openxmlformats.org/officeDocument/2006/relationships/hyperlink" Id="rId102" Target="https://doi.org/10.1128/mbio.01607-23" TargetMode="External" /><Relationship Type="http://schemas.openxmlformats.org/officeDocument/2006/relationships/hyperlink" Id="rId73" Target="https://doi.org/10.1152/physiolgenomics.00093.2024" TargetMode="External" /><Relationship Type="http://schemas.openxmlformats.org/officeDocument/2006/relationships/hyperlink" Id="rId129" Target="https://doi.org/10.1158/0008-5472.CAN-21-0805" TargetMode="External" /><Relationship Type="http://schemas.openxmlformats.org/officeDocument/2006/relationships/hyperlink" Id="rId113" Target="https://doi.org/10.1158/2159-8290.CD-22-0489" TargetMode="External" /><Relationship Type="http://schemas.openxmlformats.org/officeDocument/2006/relationships/hyperlink" Id="rId135" Target="https://doi.org/10.1172/jci.insight.162558" TargetMode="External" /><Relationship Type="http://schemas.openxmlformats.org/officeDocument/2006/relationships/hyperlink" Id="rId139" Target="https://doi.org/10.1186/s12864-020-6483-6" TargetMode="External" /><Relationship Type="http://schemas.openxmlformats.org/officeDocument/2006/relationships/hyperlink" Id="rId161" Target="https://doi.org/10.1186/s13059-019-1891-0" TargetMode="External" /><Relationship Type="http://schemas.openxmlformats.org/officeDocument/2006/relationships/hyperlink" Id="rId143" Target="https://doi.org/10.1371/journal.pone.0163962" TargetMode="External" /><Relationship Type="http://schemas.openxmlformats.org/officeDocument/2006/relationships/hyperlink" Id="rId107" Target="https://doi.org/10.1371/journal.pone.0217942" TargetMode="External" /><Relationship Type="http://schemas.openxmlformats.org/officeDocument/2006/relationships/hyperlink" Id="rId155" Target="https://doi.org/10.1371/journal.ppat.1006783" TargetMode="External" /><Relationship Type="http://schemas.openxmlformats.org/officeDocument/2006/relationships/hyperlink" Id="rId141" Target="https://doi.org/10.64898/2026.04.21.719858" TargetMode="External" /><Relationship Type="http://schemas.openxmlformats.org/officeDocument/2006/relationships/hyperlink" Id="rId56" Target="https://github.com/tpall/hpv-human-skin" TargetMode="External" /><Relationship Type="http://schemas.openxmlformats.org/officeDocument/2006/relationships/hyperlink" Id="rId104"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3" Target="https://orcid.org/0000-0002-9447-1350" TargetMode="External" /><Relationship Type="http://schemas.openxmlformats.org/officeDocument/2006/relationships/hyperlink" Id="rId57"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1/jamadermatol.2025.0531" TargetMode="External" /><Relationship Type="http://schemas.openxmlformats.org/officeDocument/2006/relationships/hyperlink" Id="rId121" Target="https://doi.org/10.1001/jamadermatol.2026.0308" TargetMode="External" /><Relationship Type="http://schemas.openxmlformats.org/officeDocument/2006/relationships/hyperlink" Id="rId69" Target="https://doi.org/10.1002/ijc.33683" TargetMode="External" /><Relationship Type="http://schemas.openxmlformats.org/officeDocument/2006/relationships/hyperlink" Id="rId157" Target="https://doi.org/10.1007/s00430-011-0212-3" TargetMode="External" /><Relationship Type="http://schemas.openxmlformats.org/officeDocument/2006/relationships/hyperlink" Id="rId145" Target="https://doi.org/10.1016/j.ccell.2024.11.013" TargetMode="External" /><Relationship Type="http://schemas.openxmlformats.org/officeDocument/2006/relationships/hyperlink" Id="rId71" Target="https://doi.org/10.1016/j.cmi.2019.04.028" TargetMode="External" /><Relationship Type="http://schemas.openxmlformats.org/officeDocument/2006/relationships/hyperlink" Id="rId81" Target="https://doi.org/10.1016/j.coviro.2019.07.010" TargetMode="External" /><Relationship Type="http://schemas.openxmlformats.org/officeDocument/2006/relationships/hyperlink" Id="rId75" Target="https://doi.org/10.1016/j.jid.2026.02.011" TargetMode="External" /><Relationship Type="http://schemas.openxmlformats.org/officeDocument/2006/relationships/hyperlink" Id="rId89" Target="https://doi.org/10.1016/j.virol.2019.08.007" TargetMode="External" /><Relationship Type="http://schemas.openxmlformats.org/officeDocument/2006/relationships/hyperlink" Id="rId67" Target="https://doi.org/10.1038/jid.2011.91" TargetMode="External" /><Relationship Type="http://schemas.openxmlformats.org/officeDocument/2006/relationships/hyperlink" Id="rId63" Target="https://doi.org/10.1038/nature12064" TargetMode="External" /><Relationship Type="http://schemas.openxmlformats.org/officeDocument/2006/relationships/hyperlink" Id="rId91" Target="https://doi.org/10.1038/nbt.3820" TargetMode="External" /><Relationship Type="http://schemas.openxmlformats.org/officeDocument/2006/relationships/hyperlink" Id="rId147" Target="https://doi.org/10.1038/s41586-019-1719-9" TargetMode="External" /><Relationship Type="http://schemas.openxmlformats.org/officeDocument/2006/relationships/hyperlink" Id="rId111" Target="https://doi.org/10.1038/s41586-020-3023-0" TargetMode="External" /><Relationship Type="http://schemas.openxmlformats.org/officeDocument/2006/relationships/hyperlink" Id="rId149" Target="https://doi.org/10.1038/s41586-020-3024-z" TargetMode="External" /><Relationship Type="http://schemas.openxmlformats.org/officeDocument/2006/relationships/hyperlink" Id="rId98" Target="https://doi.org/10.1038/s41586-021-04332-2" TargetMode="External" /><Relationship Type="http://schemas.openxmlformats.org/officeDocument/2006/relationships/hyperlink" Id="rId77" Target="https://doi.org/10.1038/srep05807" TargetMode="External" /><Relationship Type="http://schemas.openxmlformats.org/officeDocument/2006/relationships/hyperlink" Id="rId127" Target="https://doi.org/10.1073/pnas.2118930119" TargetMode="External" /><Relationship Type="http://schemas.openxmlformats.org/officeDocument/2006/relationships/hyperlink" Id="rId93" Target="https://doi.org/10.1093/bioinformatics/bts635" TargetMode="External" /><Relationship Type="http://schemas.openxmlformats.org/officeDocument/2006/relationships/hyperlink" Id="rId117" Target="https://doi.org/10.1093/bioinformatics/btt656" TargetMode="External" /><Relationship Type="http://schemas.openxmlformats.org/officeDocument/2006/relationships/hyperlink" Id="rId83" Target="https://doi.org/10.1093/bioinformatics/bty560" TargetMode="External" /><Relationship Type="http://schemas.openxmlformats.org/officeDocument/2006/relationships/hyperlink" Id="rId87" Target="https://doi.org/10.1093/gigascience/giab008" TargetMode="External" /><Relationship Type="http://schemas.openxmlformats.org/officeDocument/2006/relationships/hyperlink" Id="rId131" Target="https://doi.org/10.1093/infdis/jiy577" TargetMode="External" /><Relationship Type="http://schemas.openxmlformats.org/officeDocument/2006/relationships/hyperlink" Id="rId115" Target="https://doi.org/10.1093/nar/gkq1019" TargetMode="External" /><Relationship Type="http://schemas.openxmlformats.org/officeDocument/2006/relationships/hyperlink" Id="rId151" Target="https://doi.org/10.1093/nar/gkw879" TargetMode="External" /><Relationship Type="http://schemas.openxmlformats.org/officeDocument/2006/relationships/hyperlink" Id="rId100" Target="https://doi.org/10.1097/DAD.0000000000001289" TargetMode="External" /><Relationship Type="http://schemas.openxmlformats.org/officeDocument/2006/relationships/hyperlink" Id="rId85" Target="https://doi.org/10.1101/2024.07.30.605881" TargetMode="External" /><Relationship Type="http://schemas.openxmlformats.org/officeDocument/2006/relationships/hyperlink" Id="rId153" Target="https://doi.org/10.1111/exd.14385" TargetMode="External" /><Relationship Type="http://schemas.openxmlformats.org/officeDocument/2006/relationships/hyperlink" Id="rId123" Target="https://doi.org/10.1111/j.0022-202X.2005.23635.x" TargetMode="External" /><Relationship Type="http://schemas.openxmlformats.org/officeDocument/2006/relationships/hyperlink" Id="rId119" Target="https://doi.org/10.1128/JVI.00093-14" TargetMode="External" /><Relationship Type="http://schemas.openxmlformats.org/officeDocument/2006/relationships/hyperlink" Id="rId109" Target="https://doi.org/10.1128/JVI.00822-15" TargetMode="External" /><Relationship Type="http://schemas.openxmlformats.org/officeDocument/2006/relationships/hyperlink" Id="rId133" Target="https://doi.org/10.1128/JVI.01003-18" TargetMode="External" /><Relationship Type="http://schemas.openxmlformats.org/officeDocument/2006/relationships/hyperlink" Id="rId137" Target="https://doi.org/10.1128/JVI.01841-13" TargetMode="External" /><Relationship Type="http://schemas.openxmlformats.org/officeDocument/2006/relationships/hyperlink" Id="rId79" Target="https://doi.org/10.1128/JVI.03365-14" TargetMode="External" /><Relationship Type="http://schemas.openxmlformats.org/officeDocument/2006/relationships/hyperlink" Id="rId65" Target="https://doi.org/10.1128/JVI.74.24.11636-11641.2000" TargetMode="External" /><Relationship Type="http://schemas.openxmlformats.org/officeDocument/2006/relationships/hyperlink" Id="rId125" Target="https://doi.org/10.1128/jvi.01498-22" TargetMode="External" /><Relationship Type="http://schemas.openxmlformats.org/officeDocument/2006/relationships/hyperlink" Id="rId102" Target="https://doi.org/10.1128/mbio.01607-23" TargetMode="External" /><Relationship Type="http://schemas.openxmlformats.org/officeDocument/2006/relationships/hyperlink" Id="rId73" Target="https://doi.org/10.1152/physiolgenomics.00093.2024" TargetMode="External" /><Relationship Type="http://schemas.openxmlformats.org/officeDocument/2006/relationships/hyperlink" Id="rId129" Target="https://doi.org/10.1158/0008-5472.CAN-21-0805" TargetMode="External" /><Relationship Type="http://schemas.openxmlformats.org/officeDocument/2006/relationships/hyperlink" Id="rId113" Target="https://doi.org/10.1158/2159-8290.CD-22-0489" TargetMode="External" /><Relationship Type="http://schemas.openxmlformats.org/officeDocument/2006/relationships/hyperlink" Id="rId135" Target="https://doi.org/10.1172/jci.insight.162558" TargetMode="External" /><Relationship Type="http://schemas.openxmlformats.org/officeDocument/2006/relationships/hyperlink" Id="rId139" Target="https://doi.org/10.1186/s12864-020-6483-6" TargetMode="External" /><Relationship Type="http://schemas.openxmlformats.org/officeDocument/2006/relationships/hyperlink" Id="rId161" Target="https://doi.org/10.1186/s13059-019-1891-0" TargetMode="External" /><Relationship Type="http://schemas.openxmlformats.org/officeDocument/2006/relationships/hyperlink" Id="rId143" Target="https://doi.org/10.1371/journal.pone.0163962" TargetMode="External" /><Relationship Type="http://schemas.openxmlformats.org/officeDocument/2006/relationships/hyperlink" Id="rId107" Target="https://doi.org/10.1371/journal.pone.0217942" TargetMode="External" /><Relationship Type="http://schemas.openxmlformats.org/officeDocument/2006/relationships/hyperlink" Id="rId155" Target="https://doi.org/10.1371/journal.ppat.1006783" TargetMode="External" /><Relationship Type="http://schemas.openxmlformats.org/officeDocument/2006/relationships/hyperlink" Id="rId141" Target="https://doi.org/10.64898/2026.04.21.719858" TargetMode="External" /><Relationship Type="http://schemas.openxmlformats.org/officeDocument/2006/relationships/hyperlink" Id="rId56" Target="https://github.com/tpall/hpv-human-skin" TargetMode="External" /><Relationship Type="http://schemas.openxmlformats.org/officeDocument/2006/relationships/hyperlink" Id="rId104"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3" Target="https://orcid.org/0000-0002-9447-1350" TargetMode="External" /><Relationship Type="http://schemas.openxmlformats.org/officeDocument/2006/relationships/hyperlink" Id="rId57"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2026-10-13T10:37:56Z</dcterms:created>
  <dcterms:modified xsi:type="dcterms:W3CDTF">2026-10-13T10:37:56Z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