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21.png" ContentType="image/png"/>
  <Override PartName="/word/media/rId1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that reside on skin as a commensal reservoir, yet their role in cutaneous squamous cell carcinoma (cSCC) remains contested between a</w:t>
      </w:r>
      <w:r>
        <w:t xml:space="preserve"> </w:t>
      </w:r>
      <w:r>
        <w:t xml:space="preserve">“hit-and-run”</w:t>
      </w:r>
      <w:r>
        <w:t xml:space="preserve"> </w:t>
      </w:r>
      <w:r>
        <w:t xml:space="preserve">oncogenic model and a protective-immunity model. Because standard pipelines discard the non-human reads that carry HPV signal, we re-mined public human RNA-seq across skin and related tissues with a uniform pipeline that screens each library for papillomavirus reads, types positives against the full reference panel, and scores productive infection from late (L1 major-capsid) transcript expression. To control the two dominant confounders, we flagged cell-line and engineered material and scored each library as papillomavirus reads-per-million, neutralising sequencing depth. HPV signal was concentrated in non-primary material: cell-line and engineered libraries were roughly five-fold enriched for positivity (OR 4.7–5.3,</w:t>
      </w:r>
      <w:r>
        <w:t xml:space="preserve"> </w:t>
      </w:r>
      <w:r>
        <w:rPr>
          <w:i/>
          <w:iCs/>
        </w:rPr>
        <w:t xml:space="preserve">P</w:t>
      </w:r>
      <w:r>
        <w:t xml:space="preserve"> </w:t>
      </w:r>
      <w:r>
        <w:t xml:space="preserve">&lt; 10⁻⁸) and dominated by integrated HPV16/HPV18, whereas primary skin carried HPV at only 2–4%. Productive infection was abundant in warts and epidermodysplasia verruciformis (64% of libraries). By contrast, cSCC and actinic keratosis, sequenced almost four times more deeply than the productive controls, reached the control-calibrated detection floor in only 1.4% of libraries against 93.2% of productive controls (Fisher exact OR 8,296), and their median burden was six orders of magnitude lower. Depth-adjusted, neoplasia did sit above the near-zero baseline of unselected skin (OR 10,</w:t>
      </w:r>
      <w:r>
        <w:t xml:space="preserve"> </w:t>
      </w:r>
      <w:r>
        <w:rPr>
          <w:i/>
          <w:iCs/>
        </w:rPr>
        <w:t xml:space="preserve">P</w:t>
      </w:r>
      <w:r>
        <w:t xml:space="preserve"> </w:t>
      </w:r>
      <w:r>
        <w:t xml:space="preserve">= 4.1×10⁻⁵), but only as a trace footprint (any-read OR 1.7,</w:t>
      </w:r>
      <w:r>
        <w:t xml:space="preserve"> </w:t>
      </w:r>
      <w:r>
        <w:rPr>
          <w:i/>
          <w:iCs/>
        </w:rPr>
        <w:t xml:space="preserve">P</w:t>
      </w:r>
      <w:r>
        <w:t xml:space="preserve"> </w:t>
      </w:r>
      <w:r>
        <w:t xml:space="preserve">= 3.3×10⁻⁷) that deeper sequencing never converted into productive-level signal. A minority of lesions nonetheless harboured bona fide productive gamma-/alpha-HPV infection (HPV12, HPV96, HPV182, HPV16). Cutaneous HPV is thus productive in warts but transcriptionally quiet in healthy skin and carcinoma: a trace, non-productive footprint that both contested models must accommodate. Beyond HPV, this contamination-aware, depth-normalised framework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A small number of studies have shown that cutaneous HPV transcripts can indeed be read from skin RNA-seq, including whole-transcriptome virome profiling of EV skin</w:t>
      </w:r>
      <w:r>
        <w:t xml:space="preserve"> </w:t>
      </w:r>
      <w:r>
        <w:t xml:space="preserve">(Saeidian et al. 2023)</w:t>
      </w:r>
      <w:r>
        <w:t xml:space="preserve">, whereas others have reported the opposite, finding HPV transcriptionally silent in cSCC</w:t>
      </w:r>
      <w:r>
        <w:t xml:space="preserve"> </w:t>
      </w:r>
      <w:r>
        <w:t xml:space="preserve">(Arron et al. 2011)</w:t>
      </w:r>
      <w:r>
        <w:t xml:space="preserve">.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substring matching of sample title and source fields against a curated keyword table, yielding one of four classes: skin, anogenital, oral, or other (the default).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1"/>
    <w:bookmarkStart w:id="34"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2">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3">
        <w:r>
          <w:rPr>
            <w:rStyle w:val="Hyperlink"/>
          </w:rPr>
          <w:t xml:space="preserve">https://pave.niaid.nih.gov</w:t>
        </w:r>
      </w:hyperlink>
      <w:r>
        <w:t xml:space="preserve">) and NCBI RefSeq.</w:t>
      </w:r>
    </w:p>
    <w:bookmarkEnd w:id="34"/>
    <w:bookmarkEnd w:id="35"/>
    <w:bookmarkStart w:id="4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37"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36"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6"/>
          <w:p/>
        </w:tc>
      </w:tr>
    </w:tbl>
    <w:bookmarkEnd w:id="37"/>
    <w:bookmarkStart w:id="4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1</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1.4% of libraries (median 0.005 RPM), six orders of magnitude below the productive controls, despite being sequenced almost four times more deeply than they were (median 44.3M vs 12.2M reads). Unselected skin, once the peri-lesional and EV material that the targeted queries had swept into it was reassigned to its own tiers (Methods), forms an almost clean null: 0.1% of 7,327 libraries reach the floor.</w:t>
      </w:r>
    </w:p>
    <w:tbl>
      <w:tblPr>
        <w:tblStyle w:val="Table"/>
        <w:tblW w:type="pct" w:w="5000"/>
        <w:tblLayout w:type="fixed"/>
        <w:tblLook w:firstRow="0" w:lastRow="0" w:firstColumn="0" w:lastColumn="0" w:noHBand="0" w:noVBand="0" w:val="0000"/>
      </w:tblPr>
      <w:tblGrid>
        <w:gridCol w:w="7920"/>
      </w:tblGrid>
      <w:tr>
        <w:tc>
          <w:tcPr/>
          <w:bookmarkStart w:id="41" w:name="fig-rpm"/>
          <w:p>
            <w:pPr>
              <w:pStyle w:val="Compact"/>
              <w:jc w:val="center"/>
            </w:pPr>
            <w:r>
              <w:drawing>
                <wp:inline>
                  <wp:extent cx="5943600" cy="363220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7,327), cell lines (697), productive controls (warts/condyloma; 44), epidermodysplasia verruciformis biopsies (EV; 10), cutaneous neoplasia (cSCC/actinic keratosis; 442), peri-lesional mucosa (condyloma-adjacent tissue; 15), and other tissues (2,747).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(1.4% and 0.1% above floor) despite neoplasia being sequenced far more deeply than the productive controls (median 44.3M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1"/>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8,296, 95% CI 2,409 to ∞ under separation,</w:t>
      </w:r>
      <w:r>
        <w:t xml:space="preserve"> </w:t>
      </w:r>
      <w:r>
        <w:rPr>
          <w:i/>
          <w:iCs/>
        </w:rPr>
        <w:t xml:space="preserve">P</w:t>
      </w:r>
      <w:r>
        <w:t xml:space="preserve"> </w:t>
      </w:r>
      <w:r>
        <w:t xml:space="preserve">= 3.3×10⁻⁹⁶), while neoplasia sat an order of magnitude above skin (OR 10, 95% CI 3.3–30,</w:t>
      </w:r>
      <w:r>
        <w:t xml:space="preserve"> </w:t>
      </w:r>
      <w:r>
        <w:rPr>
          <w:i/>
          <w:iCs/>
        </w:rPr>
        <w:t xml:space="preserve">P</w:t>
      </w:r>
      <w:r>
        <w:t xml:space="preserve"> </w:t>
      </w:r>
      <w:r>
        <w:t xml:space="preserve">= 4.1×10⁻⁵). That contrast is easier to read on the absolute scale from which the odds ratios derive: 41/44 productive controls cross the floor, against 6/442 neoplasia libraries and 9/7,327 skin libraries. Neoplasia is thus measurably, but marginally, above a near-zero baseline, and remains roughly 67-fold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4.6, 4.0–5.2,</w:t>
      </w:r>
      <w:r>
        <w:t xml:space="preserve"> </w:t>
      </w:r>
      <w:r>
        <w:rPr>
          <w:i/>
          <w:iCs/>
        </w:rPr>
        <w:t xml:space="preserve">P</w:t>
      </w:r>
      <w:r>
        <w:t xml:space="preserve"> </w:t>
      </w:r>
      <w:r>
        <w:t xml:space="preserve">= 4.6×10⁻¹¹⁶), but it did not raise the odds of reaching the detection floor, either as a covariate across tiers (OR 1.4, 0.4–4.8,</w:t>
      </w:r>
      <w:r>
        <w:t xml:space="preserve"> </w:t>
      </w:r>
      <w:r>
        <w:rPr>
          <w:i/>
          <w:iCs/>
        </w:rPr>
        <w:t xml:space="preserve">P</w:t>
      </w:r>
      <w:r>
        <w:t xml:space="preserve"> </w:t>
      </w:r>
      <w:r>
        <w:t xml:space="preserve">= 0.59) or within the neoplasia tier alone (OR 1.7, 95% CI 0.1–23,</w:t>
      </w:r>
      <w:r>
        <w:t xml:space="preserve"> </w:t>
      </w:r>
      <w:r>
        <w:rPr>
          <w:i/>
          <w:iCs/>
        </w:rPr>
        <w:t xml:space="preserve">P</w:t>
      </w:r>
      <w:r>
        <w:t xml:space="preserve"> </w:t>
      </w:r>
      <w:r>
        <w:t xml:space="preserve">= 0.68). The deepest cSCC/AK libraries, at 327.3M reads, did not cross the productive floor. Consistent with a residual hit-and-run footprint rather than active infection, neoplasia showed a clear excess of</w:t>
      </w:r>
      <w:r>
        <w:t xml:space="preserve"> </w:t>
      </w:r>
      <w:r>
        <w:rPr>
          <w:i/>
          <w:iCs/>
        </w:rPr>
        <w:t xml:space="preserve">trace</w:t>
      </w:r>
      <w:r>
        <w:t xml:space="preserve"> </w:t>
      </w:r>
      <w:r>
        <w:t xml:space="preserve">HPV (any read; OR 1.7, 95% CI 1.4–2.1,</w:t>
      </w:r>
      <w:r>
        <w:t xml:space="preserve"> </w:t>
      </w:r>
      <w:r>
        <w:rPr>
          <w:i/>
          <w:iCs/>
        </w:rPr>
        <w:t xml:space="preserve">P</w:t>
      </w:r>
      <w:r>
        <w:t xml:space="preserve"> </w:t>
      </w:r>
      <w:r>
        <w:t xml:space="preserve">= 3.3×10⁻⁷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(CIN/SCC),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5.3,</w:t>
      </w:r>
      <w:r>
        <w:t xml:space="preserve"> </w:t>
      </w:r>
      <w:r>
        <w:rPr>
          <w:i/>
          <w:iCs/>
        </w:rPr>
        <w:t xml:space="preserve">P</w:t>
      </w:r>
      <w:r>
        <w:t xml:space="preserve"> </w:t>
      </w:r>
      <w:r>
        <w:t xml:space="preserve">= 0.018) and strengthening the productivity contrast against warts/EV (OR 5.2,</w:t>
      </w:r>
      <w:r>
        <w:t xml:space="preserve"> </w:t>
      </w:r>
      <w:r>
        <w:rPr>
          <w:i/>
          <w:iCs/>
        </w:rPr>
        <w:t xml:space="preserve">P</w:t>
      </w:r>
      <w:r>
        <w:t xml:space="preserve"> </w:t>
      </w:r>
      <w:r>
        <w:t xml:space="preserve">= 0.0038), so the retained tier is the conservative choice.</w:t>
      </w:r>
    </w:p>
    <w:bookmarkEnd w:id="42"/>
    <w:bookmarkStart w:id="4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cSCC/CIN skin library productively infected with the gamma-type HPV12 (99.8% genome coverage; L1 = 1,803, L2 = 3,546 reads), two HPV16-productive cSCC libraries, and two</w:t>
      </w:r>
      <w:r>
        <w:t xml:space="preserve"> </w:t>
      </w:r>
      <w:r>
        <w:t xml:space="preserve">“other-tissue”</w:t>
      </w:r>
      <w:r>
        <w:t xml:space="preserve"> </w:t>
      </w:r>
      <w:r>
        <w:t xml:space="preserve">libraries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non-traditional-tissue and productive-infection questions: bona fide, high-confidence productive beta/gamma-HPV infections do occur in primary skin and skin-associated lesions, but they are the exception against a null background.</w:t>
      </w:r>
    </w:p>
    <w:bookmarkEnd w:id="43"/>
    <w:bookmarkStart w:id="4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suppfig-genus">
        <w:r>
          <w:rPr>
            <w:rStyle w:val="Hyperlink"/>
          </w:rPr>
          <w:t xml:space="preserve">Figure S2</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(2.6% [1.3–4.3] versus 1.9% [0.86–3.4]),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S5</w:t>
        </w:r>
      </w:hyperlink>
      <w:r>
        <w:t xml:space="preserve">). This recovers the expected commensal signal at the sensitivity floor: healthy skin carried a diverse cutaneous reservoir (38 of 55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p>
      <w:pPr>
        <w:pStyle w:val="BodyText"/>
      </w:pPr>
      <w:r>
        <w:t xml:space="preserve">A further descriptive feature of the catalogue is that types frequently co-occur: 38 of the 163 typed libraries carry two or more assigned references, up to five in one library (</w:t>
      </w:r>
      <w:hyperlink w:anchor="supptbl-coinf">
        <w:r>
          <w:rPr>
            <w:rStyle w:val="Hyperlink"/>
          </w:rPr>
          <w:t xml:space="preserve">Table S6</w:t>
        </w:r>
      </w:hyperlink>
      <w:r>
        <w:t xml:space="preserve">). Because coverage is scored from uniquely-mapped reads alone, cross-mapping between similar types cannot generate these calls. The commonest pairing by far is HPV11 with HPV42, which co-occur in 20 libraries, while only 2 carry HPV42 without HPV11; in the peri-lesional tier the pairing is forced by the marginal counts of</w:t>
      </w:r>
      <w:r>
        <w:t xml:space="preserve"> </w:t>
      </w:r>
      <w:hyperlink w:anchor="supptbl-types">
        <w:r>
          <w:rPr>
            <w:rStyle w:val="Hyperlink"/>
          </w:rPr>
          <w:t xml:space="preserve">Table S1</w:t>
        </w:r>
      </w:hyperlink>
      <w:r>
        <w:t xml:space="preserve"> </w:t>
      </w:r>
      <w:r>
        <w:t xml:space="preserve">(14 HPV11 and 13 HPV42 calls over 15 libraries). We nonetheless present this as a hypothesis rather than a finding, for three reasons set out in</w:t>
      </w:r>
      <w:r>
        <w:t xml:space="preserve"> </w:t>
      </w:r>
      <w:hyperlink w:anchor="supptbl-coinf">
        <w:r>
          <w:rPr>
            <w:rStyle w:val="Hyperlink"/>
          </w:rPr>
          <w:t xml:space="preserve">Table S6</w:t>
        </w:r>
      </w:hyperlink>
      <w:r>
        <w:t xml:space="preserve">. The co-infected libraries are heavily pseudo-replicated, 25 of the 38 coming from 9 donors of one study, each sequenced in three fractions across two SRA submissions; the secondary type in a co-infection is usually near the detection threshold (median depth 6.8×, 40% below 5×), to the point that one donor’s MeRIP input and IP fractions call different second types; and requiring both partners to clear a stricter coverage bar leaves only 9 HPV11/HPV42 libraries from 3 donors. Within that stricter set the deeper type differs by tissue, HPV11 in the condyloma lesion and HPV42 in the two peri-lesional specimens, but HPV42 clears the bar only where it is abundant, so tissue tropism and detection sensitivity are confounded. The pattern is worth testing in a cohort assembled for the purpose; it cannot be resolved here.</w:t>
      </w:r>
    </w:p>
    <w:bookmarkEnd w:id="44"/>
    <w:bookmarkStart w:id="4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1.7 [1.4, 2.1]; each with P(OR &gt; 1) &gt; 0.999). Crucially, the productive-controls-versus-skin contrast, whose frequentist odds ratio (8,296) is inflated and unstable under separation, regularised to a finite but still enormous posterior OR of 6,709 [2,330, 23,011] (10,715 [3,250, 46,581]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1.8 [0.2, 21], P(OR &gt; 1) = 0.698), and the warts/EV-versus-neoplasia productivity contrast held (OR 3.7 [1.3, 11], P(OR &gt; 1) = 0.991). The neoplasia-versus-skin comparison at floor level, whose frequentist interval is wide because it rests on 6 above-floor libraries, shrinks under the prior but stays clearly positive (OR 8.7 [2.9, 26], P(OR &gt; 1) = &gt;0.999): the small floor-level elevation of neoplasia over clean skin is genuine. It is nonetheless negligible beside the near-four-orders-of-magnitude productive-control effect, and it does not alter the trace-not-productive conclusion.</w:t>
      </w:r>
    </w:p>
    <w:bookmarkEnd w:id="45"/>
    <w:bookmarkEnd w:id="46"/>
    <w:bookmarkStart w:id="52"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4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442 cSCC/AK libraries, only 6 reached the control-calibrated detection floor (1.4%), against 93.2% of productive controls, and the tier’s median burden was 0.005 RPM against 5,408 RPM in controls. Neoplasia does carry HPV more often than clean skin, both as a trace signal (any read; OR 1.7,</w:t>
      </w:r>
      <w:r>
        <w:t xml:space="preserve"> </w:t>
      </w:r>
      <w:r>
        <w:rPr>
          <w:i/>
          <w:iCs/>
        </w:rPr>
        <w:t xml:space="preserve">P</w:t>
      </w:r>
      <w:r>
        <w:t xml:space="preserve"> </w:t>
      </w:r>
      <w:r>
        <w:t xml:space="preserve">= 3.3×10⁻⁷) and, marginally, at the detection floor (OR 10,</w:t>
      </w:r>
      <w:r>
        <w:t xml:space="preserve"> </w:t>
      </w:r>
      <w:r>
        <w:rPr>
          <w:i/>
          <w:iCs/>
        </w:rPr>
        <w:t xml:space="preserve">P</w:t>
      </w:r>
      <w:r>
        <w:t xml:space="preserve"> </w:t>
      </w:r>
      <w:r>
        <w:t xml:space="preserve">= 4.1×10⁻⁵; halved to OR 5.3 once the 3 mucosal HPV16 cases are removed). But that elevation is a rise from near-zero to near-zero, and it is not converted into productive burden by any amount of sequencing. This is precisely the residual footprint, rather than active infection, that hit-and-run predicts. It also extends a long-standing but contested single-study observation. More than a decade ago,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our results confirm that conclusion at two orders of magnitude greater scale and show that it is not an artefact of shallow sequencing: the neoplasia libraries were sequenced almost four times more deeply than the productive controls (median 44.3M vs 12.2M reads), and even the deepest among them, at 327.3M reads, did not cross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47"/>
    <w:bookmarkStart w:id="4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questions about non-traditional tissues and productive infection.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48"/>
    <w:bookmarkStart w:id="4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Any survey that pools archived data without flagging non-primary material and without coverage-breadth and depth thresholds will substantially overstate HPV prevalence and mis-attribute mucosal high-risk types to tissues where they have no biological place. The combination we applied, namely explicit cell-line/engineered/in-vitro annotation, study-level curation, dual breadth-and-depth typing thresholds, and depth-normalised burden, is in our view a necessary minimum for credible virus mining of public transcriptomes, and it generalises beyond HPV.</w:t>
      </w:r>
    </w:p>
    <w:bookmarkEnd w:id="49"/>
    <w:bookmarkStart w:id="50"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 selection biases viral recovery: poly-A-selected protocols can deplete viral transcripts, and library types are heterogeneous across studies, so absence of HPV reads is not proof of absence of virus, and our productivity estimates are conservative. Third, tissue and diagnosis labels were derived programmatically from sample metadata and are imperfect, despite curation; residual misclassification adds noise to the tier assignments. Fourth,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Fifth,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50"/>
    <w:bookmarkStart w:id="51"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51"/>
    <w:bookmarkEnd w:id="52"/>
    <w:bookmarkStart w:id="120" w:name="references"/>
    <w:p>
      <w:pPr>
        <w:pStyle w:val="Heading2"/>
      </w:pPr>
      <w:r>
        <w:t xml:space="preserve">References</w:t>
      </w:r>
    </w:p>
    <w:bookmarkStart w:id="119" w:name="refs"/>
    <w:bookmarkStart w:id="54"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3">
        <w:r>
          <w:rPr>
            <w:rStyle w:val="Hyperlink"/>
          </w:rPr>
          <w:t xml:space="preserve">https://doi.org/10.1038/nature12064</w:t>
        </w:r>
      </w:hyperlink>
      <w:r>
        <w:t xml:space="preserve">.</w:t>
      </w:r>
    </w:p>
    <w:bookmarkEnd w:id="54"/>
    <w:bookmarkStart w:id="56"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5">
        <w:r>
          <w:rPr>
            <w:rStyle w:val="Hyperlink"/>
          </w:rPr>
          <w:t xml:space="preserve">https://doi.org/10.1128/JVI.74.24.11636-11641.2000</w:t>
        </w:r>
      </w:hyperlink>
      <w:r>
        <w:t xml:space="preserve">.</w:t>
      </w:r>
    </w:p>
    <w:bookmarkEnd w:id="56"/>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w:t>
      </w:r>
    </w:p>
    <w:bookmarkEnd w:id="57"/>
    <w:bookmarkStart w:id="5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58"/>
    <w:bookmarkStart w:id="6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59">
        <w:r>
          <w:rPr>
            <w:rStyle w:val="Hyperlink"/>
          </w:rPr>
          <w:t xml:space="preserve">https://doi.org/10.3389/fmicb.2018.00117</w:t>
        </w:r>
      </w:hyperlink>
      <w:r>
        <w:t xml:space="preserve">.</w:t>
      </w:r>
    </w:p>
    <w:bookmarkEnd w:id="60"/>
    <w:bookmarkStart w:id="61"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61"/>
    <w:bookmarkStart w:id="63"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2">
        <w:r>
          <w:rPr>
            <w:rStyle w:val="Hyperlink"/>
          </w:rPr>
          <w:t xml:space="preserve">https://doi.org/10.1128/JVI.03365-14</w:t>
        </w:r>
      </w:hyperlink>
      <w:r>
        <w:t xml:space="preserve">.</w:t>
      </w:r>
    </w:p>
    <w:bookmarkEnd w:id="63"/>
    <w:bookmarkStart w:id="65"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64">
        <w:r>
          <w:rPr>
            <w:rStyle w:val="Hyperlink"/>
          </w:rPr>
          <w:t xml:space="preserve">https://doi.org/10.1093/bioinformatics/bty560</w:t>
        </w:r>
      </w:hyperlink>
      <w:r>
        <w:t xml:space="preserve">.</w:t>
      </w:r>
    </w:p>
    <w:bookmarkEnd w:id="65"/>
    <w:bookmarkStart w:id="67"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66">
        <w:r>
          <w:rPr>
            <w:rStyle w:val="Hyperlink"/>
          </w:rPr>
          <w:t xml:space="preserve">https://doi.org/10.1093/gigascience/giab008</w:t>
        </w:r>
      </w:hyperlink>
      <w:r>
        <w:t xml:space="preserve">.</w:t>
      </w:r>
    </w:p>
    <w:bookmarkEnd w:id="67"/>
    <w:bookmarkStart w:id="69"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68">
        <w:r>
          <w:rPr>
            <w:rStyle w:val="Hyperlink"/>
          </w:rPr>
          <w:t xml:space="preserve">https://doi.org/10.1038/nbt.3820</w:t>
        </w:r>
      </w:hyperlink>
      <w:r>
        <w:t xml:space="preserve">.</w:t>
      </w:r>
    </w:p>
    <w:bookmarkEnd w:id="69"/>
    <w:bookmarkStart w:id="71"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0">
        <w:r>
          <w:rPr>
            <w:rStyle w:val="Hyperlink"/>
          </w:rPr>
          <w:t xml:space="preserve">https://doi.org/10.1093/bioinformatics/bts635</w:t>
        </w:r>
      </w:hyperlink>
      <w:r>
        <w:t xml:space="preserve">.</w:t>
      </w:r>
    </w:p>
    <w:bookmarkEnd w:id="71"/>
    <w:bookmarkStart w:id="72"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72"/>
    <w:bookmarkStart w:id="73"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73"/>
    <w:bookmarkStart w:id="7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74"/>
    <w:bookmarkStart w:id="7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75">
        <w:r>
          <w:rPr>
            <w:rStyle w:val="Hyperlink"/>
          </w:rPr>
          <w:t xml:space="preserve">https://doi.org/10.1038/s41586-021-04332-2</w:t>
        </w:r>
      </w:hyperlink>
      <w:r>
        <w:t xml:space="preserve">.</w:t>
      </w:r>
    </w:p>
    <w:bookmarkEnd w:id="76"/>
    <w:bookmarkStart w:id="77"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77"/>
    <w:bookmarkStart w:id="78"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78"/>
    <w:bookmarkStart w:id="80"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79">
        <w:r>
          <w:rPr>
            <w:rStyle w:val="Hyperlink"/>
          </w:rPr>
          <w:t xml:space="preserve">https://mc-stan.org/rstanarm/</w:t>
        </w:r>
      </w:hyperlink>
      <w:r>
        <w:t xml:space="preserve">.</w:t>
      </w:r>
    </w:p>
    <w:bookmarkEnd w:id="80"/>
    <w:bookmarkStart w:id="81"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81"/>
    <w:bookmarkStart w:id="82"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82"/>
    <w:bookmarkStart w:id="83"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83"/>
    <w:bookmarkStart w:id="85"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84">
        <w:r>
          <w:rPr>
            <w:rStyle w:val="Hyperlink"/>
          </w:rPr>
          <w:t xml:space="preserve">https://doi.org/10.1084/jem.20170308</w:t>
        </w:r>
      </w:hyperlink>
      <w:r>
        <w:t xml:space="preserve">.</w:t>
      </w:r>
    </w:p>
    <w:bookmarkEnd w:id="85"/>
    <w:bookmarkStart w:id="86"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86"/>
    <w:bookmarkStart w:id="88"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87">
        <w:r>
          <w:rPr>
            <w:rStyle w:val="Hyperlink"/>
          </w:rPr>
          <w:t xml:space="preserve">https://doi.org/10.1128/JVI.00822-15</w:t>
        </w:r>
      </w:hyperlink>
      <w:r>
        <w:t xml:space="preserve">.</w:t>
      </w:r>
    </w:p>
    <w:bookmarkEnd w:id="88"/>
    <w:bookmarkStart w:id="89"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89"/>
    <w:bookmarkStart w:id="90"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90"/>
    <w:bookmarkStart w:id="92"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1">
        <w:r>
          <w:rPr>
            <w:rStyle w:val="Hyperlink"/>
          </w:rPr>
          <w:t xml:space="preserve">https://doi.org/10.1093/nar/gkq1019</w:t>
        </w:r>
      </w:hyperlink>
      <w:r>
        <w:t xml:space="preserve">.</w:t>
      </w:r>
    </w:p>
    <w:bookmarkEnd w:id="92"/>
    <w:bookmarkStart w:id="94"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93">
        <w:r>
          <w:rPr>
            <w:rStyle w:val="Hyperlink"/>
          </w:rPr>
          <w:t xml:space="preserve">https://doi.org/10.1093/bioinformatics/btt656</w:t>
        </w:r>
      </w:hyperlink>
      <w:r>
        <w:t xml:space="preserve">.</w:t>
      </w:r>
    </w:p>
    <w:bookmarkEnd w:id="94"/>
    <w:bookmarkStart w:id="95"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95"/>
    <w:bookmarkStart w:id="96"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96"/>
    <w:bookmarkStart w:id="97"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97"/>
    <w:bookmarkStart w:id="98"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98"/>
    <w:bookmarkStart w:id="10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99">
        <w:r>
          <w:rPr>
            <w:rStyle w:val="Hyperlink"/>
          </w:rPr>
          <w:t xml:space="preserve">https://doi.org/10.1038/ng1044</w:t>
        </w:r>
      </w:hyperlink>
      <w:r>
        <w:t xml:space="preserve">.</w:t>
      </w:r>
    </w:p>
    <w:bookmarkEnd w:id="100"/>
    <w:bookmarkStart w:id="102"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01">
        <w:r>
          <w:rPr>
            <w:rStyle w:val="Hyperlink"/>
          </w:rPr>
          <w:t xml:space="preserve">https://doi.org/10.1128/JVI.01003-18</w:t>
        </w:r>
      </w:hyperlink>
      <w:r>
        <w:t xml:space="preserve">.</w:t>
      </w:r>
    </w:p>
    <w:bookmarkEnd w:id="102"/>
    <w:bookmarkStart w:id="104"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4"/>
    <w:bookmarkStart w:id="10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05">
        <w:r>
          <w:rPr>
            <w:rStyle w:val="Hyperlink"/>
          </w:rPr>
          <w:t xml:space="preserve">https://doi.org/10.1371/journal.pone.0163962</w:t>
        </w:r>
      </w:hyperlink>
      <w:r>
        <w:t xml:space="preserve">.</w:t>
      </w:r>
    </w:p>
    <w:bookmarkEnd w:id="106"/>
    <w:bookmarkStart w:id="108"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07">
        <w:r>
          <w:rPr>
            <w:rStyle w:val="Hyperlink"/>
          </w:rPr>
          <w:t xml:space="preserve">https://doi.org/10.1038/s41586-019-1719-9</w:t>
        </w:r>
      </w:hyperlink>
      <w:r>
        <w:t xml:space="preserve">.</w:t>
      </w:r>
    </w:p>
    <w:bookmarkEnd w:id="108"/>
    <w:bookmarkStart w:id="109"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09"/>
    <w:bookmarkStart w:id="111"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10">
        <w:r>
          <w:rPr>
            <w:rStyle w:val="Hyperlink"/>
          </w:rPr>
          <w:t xml:space="preserve">https://doi.org/10.1093/nar/gkw879</w:t>
        </w:r>
      </w:hyperlink>
      <w:r>
        <w:t xml:space="preserve">.</w:t>
      </w:r>
    </w:p>
    <w:bookmarkEnd w:id="111"/>
    <w:bookmarkStart w:id="113"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12">
        <w:r>
          <w:rPr>
            <w:rStyle w:val="Hyperlink"/>
          </w:rPr>
          <w:t xml:space="preserve">https://doi.org/10.1371/journal.ppat.1006783</w:t>
        </w:r>
      </w:hyperlink>
      <w:r>
        <w:t xml:space="preserve">.</w:t>
      </w:r>
    </w:p>
    <w:bookmarkEnd w:id="113"/>
    <w:bookmarkStart w:id="114"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14"/>
    <w:bookmarkStart w:id="115"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15"/>
    <w:bookmarkStart w:id="117"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16">
        <w:r>
          <w:rPr>
            <w:rStyle w:val="Hyperlink"/>
          </w:rPr>
          <w:t xml:space="preserve">https://doi.org/10.1186/s13059-019-1891-0</w:t>
        </w:r>
      </w:hyperlink>
      <w:r>
        <w:t xml:space="preserve">.</w:t>
      </w:r>
    </w:p>
    <w:bookmarkEnd w:id="117"/>
    <w:bookmarkStart w:id="118"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18"/>
    <w:bookmarkEnd w:id="119"/>
    <w:bookmarkEnd w:id="120"/>
    <w:bookmarkStart w:id="13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24" w:name="suppfig-depth"/>
          <w:p>
            <w:pPr>
              <w:pStyle w:val="Compact"/>
              <w:jc w:val="center"/>
            </w:pPr>
            <w:r>
              <w:drawing>
                <wp:inline>
                  <wp:extent cx="5943600" cy="3714749"/>
                  <wp:effectExtent b="0" l="0" r="0" t="0"/>
                  <wp:docPr descr="" title="" id="122" name="Picture"/>
                  <a:graphic>
                    <a:graphicData uri="http://schemas.openxmlformats.org/drawingml/2006/picture">
                      <pic:pic>
                        <pic:nvPicPr>
                          <pic:cNvPr descr="figureS1.png" id="123" name="Picture"/>
                          <pic:cNvPicPr>
                            <a:picLocks noChangeArrowheads="1" noChangeAspect="1"/>
                          </pic:cNvPicPr>
                        </pic:nvPicPr>
                        <pic:blipFill>
                          <a:blip r:embed="rId12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1</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2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5" w:name="supptbl-types"/>
          <w:tbl>
            <w:tblPr>
              <w:tblStyle w:val="Table"/>
              <w:tblW w:type="pct" w:w="5000"/>
              <w:tblLayout w:type="fixed"/>
              <w:tblLook w:firstRow="1" w:lastRow="0" w:firstColumn="0" w:lastColumn="0" w:noHBand="0" w:noVBand="0" w:val="0020"/>
            </w:tblPr>
            <w:tblGrid>
              <w:gridCol w:w="451"/>
              <w:gridCol w:w="1303"/>
              <w:gridCol w:w="1353"/>
              <w:gridCol w:w="501"/>
              <w:gridCol w:w="1403"/>
              <w:gridCol w:w="902"/>
              <w:gridCol w:w="902"/>
              <w:gridCol w:w="802"/>
              <w:gridCol w:w="300"/>
            </w:tblGrid>
            <w:tr>
              <w:trPr>
                <w:tblHeader w:val="on"/>
              </w:trPr>
              <w:tc>
                <w:tcPr/>
                <w:p>
                  <w:pPr>
                    <w:pStyle w:val="Compact"/>
                    <w:jc w:val="left"/>
                    <w:jc w:val="center"/>
                  </w:pPr>
                  <w:r>
                    <w:t xml:space="preserve">HPV type</w:t>
                  </w:r>
                </w:p>
              </w:tc>
              <w:tc>
                <w:tcPr/>
                <w:p>
                  <w:pPr>
                    <w:pStyle w:val="Compact"/>
                    <w:jc w:val="right"/>
                    <w:jc w:val="center"/>
                  </w:pPr>
                  <w:r>
                    <w:t xml:space="preserve">Unselected skin (N=7,327)</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(N=442)</w:t>
                  </w:r>
                </w:p>
              </w:tc>
              <w:tc>
                <w:tcPr/>
                <w:p>
                  <w:pPr>
                    <w:pStyle w:val="Compact"/>
                    <w:jc w:val="right"/>
                    <w:jc w:val="center"/>
                  </w:pPr>
                  <w:r>
                    <w:t xml:space="preserve">Cell line (N=697)</w:t>
                  </w:r>
                </w:p>
              </w:tc>
              <w:tc>
                <w:tcPr/>
                <w:p>
                  <w:pPr>
                    <w:pStyle w:val="Compact"/>
                    <w:jc w:val="left"/>
                    <w:jc w:val="center"/>
                  </w:pPr>
                  <w:r>
                    <w:t xml:space="preserve">Other (N=2,747)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(0.31%)</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(0.79%)</w:t>
                  </w:r>
                </w:p>
              </w:tc>
              <w:tc>
                <w:tcPr/>
                <w:p>
                  <w:pPr>
                    <w:pStyle w:val="Compact"/>
                    <w:jc w:val="right"/>
                    <w:jc w:val="center"/>
                  </w:pPr>
                  <w:r>
                    <w:t xml:space="preserve">24 (3.5%)</w:t>
                  </w:r>
                </w:p>
              </w:tc>
              <w:tc>
                <w:tcPr/>
                <w:p>
                  <w:pPr>
                    <w:pStyle w:val="Compact"/>
                    <w:jc w:val="left"/>
                    <w:jc w:val="center"/>
                  </w:pPr>
                  <w:r>
                    <w:t xml:space="preserve">1 (0.05%)</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(0.24%)</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1 (0.05%)</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 (0.13%)</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S5</w:t>
              </w:r>
            </w:hyperlink>
            <w:r>
              <w:t xml:space="preserve">.</w:t>
            </w:r>
            <w:r>
              <w:t xml:space="preserve"> </w:t>
            </w:r>
            <w:hyperlink w:anchor="suppfig-genus">
              <w:r>
                <w:rPr>
                  <w:rStyle w:val="Hyperlink"/>
                </w:rPr>
                <w:t xml:space="preserve">Figure S2</w:t>
              </w:r>
            </w:hyperlink>
            <w:r>
              <w:t xml:space="preserve"> </w:t>
            </w:r>
            <w:r>
              <w:t xml:space="preserve">summarises this table, and</w:t>
            </w:r>
            <w:r>
              <w:t xml:space="preserve"> </w:t>
            </w:r>
            <w:hyperlink w:anchor="supptbl-trace">
              <w:r>
                <w:rPr>
                  <w:rStyle w:val="Hyperlink"/>
                </w:rPr>
                <w:t xml:space="preserve">Table S5</w:t>
              </w:r>
            </w:hyperlink>
            <w:r>
              <w:t xml:space="preserve">, at the level of HPV genus.</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productive"/>
          <w:tbl>
            <w:tblPr>
              <w:tblStyle w:val="Table"/>
              <w:tblW w:type="pct" w:w="5000"/>
              <w:tblLayout w:type="fixed"/>
              <w:tblLook w:firstRow="1" w:lastRow="0" w:firstColumn="0" w:lastColumn="0" w:noHBand="0" w:noVBand="0" w:val="0020"/>
            </w:tblPr>
            <w:tblGrid>
              <w:gridCol w:w="1067"/>
              <w:gridCol w:w="2313"/>
              <w:gridCol w:w="1423"/>
              <w:gridCol w:w="1512"/>
              <w:gridCol w:w="800"/>
              <w:gridCol w:w="80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Other (carcinoma; CIN)</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Other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 CIN)</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 CIN)</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w:t>
            </w:r>
            <w:r>
              <w:t xml:space="preserve"> </w:t>
            </w:r>
            <w:r>
              <w:t xml:space="preserve">“other-tissue”</w:t>
            </w:r>
            <w:r>
              <w:t xml:space="preserve"> </w:t>
            </w:r>
            <w:r>
              <w:t xml:space="preserve">co-infections (ERR2274877, ERR1971044)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1</w:t>
              </w:r>
            </w:hyperlink>
            <w:r>
              <w:t xml:space="preserve">).</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8,296 (3.3×10⁻⁹⁶)</w:t>
                  </w:r>
                </w:p>
              </w:tc>
              <w:tc>
                <w:tcPr/>
                <w:p>
                  <w:pPr>
                    <w:pStyle w:val="Compact"/>
                    <w:jc w:val="left"/>
                    <w:jc w:val="center"/>
                  </w:pPr>
                  <w:r>
                    <w:t xml:space="preserve">6,709 [2,330, 23,011]</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10 (4.1×10⁻⁵)</w:t>
                  </w:r>
                </w:p>
              </w:tc>
              <w:tc>
                <w:tcPr/>
                <w:p>
                  <w:pPr>
                    <w:pStyle w:val="Compact"/>
                    <w:jc w:val="left"/>
                    <w:jc w:val="center"/>
                  </w:pPr>
                  <w:r>
                    <w:t xml:space="preserve">8.7 [2.9, 26]</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1.4 (0.59)</w:t>
                  </w:r>
                </w:p>
              </w:tc>
              <w:tc>
                <w:tcPr/>
                <w:p>
                  <w:pPr>
                    <w:pStyle w:val="Compact"/>
                    <w:jc w:val="left"/>
                    <w:jc w:val="center"/>
                  </w:pPr>
                  <w:r>
                    <w:t xml:space="preserve">1.5 [0.5, 5.1]</w:t>
                  </w:r>
                </w:p>
              </w:tc>
              <w:tc>
                <w:tcPr/>
                <w:p>
                  <w:pPr>
                    <w:pStyle w:val="Compact"/>
                    <w:jc w:val="right"/>
                    <w:jc w:val="center"/>
                  </w:pPr>
                  <w:r>
                    <w:t xml:space="preserve">0.744</w:t>
                  </w:r>
                </w:p>
              </w:tc>
            </w:tr>
            <w:tr>
              <w:tc>
                <w:tcPr/>
                <w:p>
                  <w:pPr>
                    <w:pStyle w:val="Compact"/>
                    <w:jc w:val="left"/>
                    <w:jc w:val="center"/>
                  </w:pPr>
                  <w:r>
                    <w:t xml:space="preserve">Sequencing depth within neoplasia, floor (M2)</w:t>
                  </w:r>
                </w:p>
              </w:tc>
              <w:tc>
                <w:tcPr/>
                <w:p>
                  <w:pPr>
                    <w:pStyle w:val="Compact"/>
                    <w:jc w:val="left"/>
                    <w:jc w:val="center"/>
                  </w:pPr>
                  <w:r>
                    <w:t xml:space="preserve">1.7 (0.68)</w:t>
                  </w:r>
                </w:p>
              </w:tc>
              <w:tc>
                <w:tcPr/>
                <w:p>
                  <w:pPr>
                    <w:pStyle w:val="Compact"/>
                    <w:jc w:val="left"/>
                    <w:jc w:val="center"/>
                  </w:pPr>
                  <w:r>
                    <w:t xml:space="preserve">1.8 [0.2, 21]</w:t>
                  </w:r>
                </w:p>
              </w:tc>
              <w:tc>
                <w:tcPr/>
                <w:p>
                  <w:pPr>
                    <w:pStyle w:val="Compact"/>
                    <w:jc w:val="right"/>
                    <w:jc w:val="center"/>
                  </w:pPr>
                  <w:r>
                    <w:t xml:space="preserve">0.698</w:t>
                  </w:r>
                </w:p>
              </w:tc>
            </w:tr>
            <w:tr>
              <w:tc>
                <w:tcPr/>
                <w:p>
                  <w:pPr>
                    <w:pStyle w:val="Compact"/>
                    <w:jc w:val="left"/>
                    <w:jc w:val="center"/>
                  </w:pPr>
                  <w:r>
                    <w:t xml:space="preserve">Neoplasia vs unselected skin, any-HPV / trace (M2)</w:t>
                  </w:r>
                </w:p>
              </w:tc>
              <w:tc>
                <w:tcPr/>
                <w:p>
                  <w:pPr>
                    <w:pStyle w:val="Compact"/>
                    <w:jc w:val="left"/>
                    <w:jc w:val="center"/>
                  </w:pPr>
                  <w:r>
                    <w:t xml:space="preserve">1.7 (3.3×10⁻⁷)</w:t>
                  </w:r>
                </w:p>
              </w:tc>
              <w:tc>
                <w:tcPr/>
                <w:p>
                  <w:pPr>
                    <w:pStyle w:val="Compact"/>
                    <w:jc w:val="left"/>
                    <w:jc w:val="center"/>
                  </w:pPr>
                  <w:r>
                    <w:t xml:space="preserve">1.7 [1.4, 2.1]</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1</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10,715 [3,250, 46,581], confirming robustness). Sequencing depth is modelled per 10-fold (log₁₀) change in library size.</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Other</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with cervical/CIN or unspecified-site diagnoses, and all exceed the control-calibrated detection floor (13.2 RPM), so they make up 3 of the 6 above-floor detections in the whole tier. Excluding them halves cutaneous-neoplasia floor-level detection, from 1.4% to 0.7% (versus unselected skin: OR 5.3,</w:t>
            </w:r>
            <w:r>
              <w:t xml:space="preserve"> </w:t>
            </w:r>
            <w:r>
              <w:rPr>
                <w:i/>
                <w:iCs/>
              </w:rPr>
              <w:t xml:space="preserve">P</w:t>
            </w:r>
            <w:r>
              <w:t xml:space="preserve"> </w:t>
            </w:r>
            <w:r>
              <w:t xml:space="preserve">= 0.018, down from OR 10),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supptbl-trace"/>
          <w:tbl>
            <w:tblPr>
              <w:tblStyle w:val="Table"/>
              <w:tblW w:type="pct" w:w="5000"/>
              <w:tblLayout w:type="fixed"/>
              <w:tblLook w:firstRow="1" w:lastRow="0" w:firstColumn="0" w:lastColumn="0" w:noHBand="0" w:noVBand="0" w:val="0020"/>
            </w:tblPr>
            <w:tblGrid>
              <w:gridCol w:w="735"/>
              <w:gridCol w:w="339"/>
              <w:gridCol w:w="1470"/>
              <w:gridCol w:w="1018"/>
              <w:gridCol w:w="1527"/>
              <w:gridCol w:w="565"/>
              <w:gridCol w:w="905"/>
              <w:gridCol w:w="1018"/>
              <w:gridCol w:w="339"/>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(N=7,327)</w:t>
                  </w:r>
                </w:p>
              </w:tc>
              <w:tc>
                <w:tcPr/>
                <w:p>
                  <w:pPr>
                    <w:pStyle w:val="Compact"/>
                    <w:jc w:val="right"/>
                    <w:jc w:val="center"/>
                  </w:pPr>
                  <w:r>
                    <w:t xml:space="preserve">Neoplasia (N=442)</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Other (N=2,747)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1 (0.02%)</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(0.16%)</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11 (0.16%)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9 (1.4%)</w:t>
                  </w:r>
                </w:p>
              </w:tc>
              <w:tc>
                <w:tcPr/>
                <w:p>
                  <w:pPr>
                    <w:pStyle w:val="Compact"/>
                    <w:jc w:val="left"/>
                    <w:jc w:val="center"/>
                  </w:pPr>
                  <w:r>
                    <w:t xml:space="preserve">21</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(0.60%)</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(0.09%)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S5: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196, Neoplasia 17, Productive controls 5, EV 1, Other 71, Cell line 35. Healthy skin is dominated by cutaneous beta/gamma/nu types (38 of 55 resolved skin calls), whereas the mucosal types HPV16 and HPV18 concentrate in cell-line and other material (HPV16 trace prevalence 2.7% [1.6–4.0] in cell lines versus 0.02% [0.00–0.06]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suppfig-genus">
              <w:r>
                <w:rPr>
                  <w:rStyle w:val="Hyperlink"/>
                </w:rPr>
                <w:t xml:space="preserve">Figure S2</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suppfig-genus"/>
          <w:p>
            <w:pPr>
              <w:pStyle w:val="Compact"/>
              <w:jc w:val="center"/>
            </w:pPr>
            <w:r>
              <w:drawing>
                <wp:inline>
                  <wp:extent cx="5943600" cy="3622765"/>
                  <wp:effectExtent b="0" l="0" r="0" t="0"/>
                  <wp:docPr descr="" title="" id="131" name="Picture"/>
                  <a:graphic>
                    <a:graphicData uri="http://schemas.openxmlformats.org/drawingml/2006/picture">
                      <pic:pic>
                        <pic:nvPicPr>
                          <pic:cNvPr descr="figureS2.png" id="132" name="Picture"/>
                          <pic:cNvPicPr>
                            <a:picLocks noChangeArrowheads="1" noChangeAspect="1"/>
                          </pic:cNvPicPr>
                        </pic:nvPicPr>
                        <pic:blipFill>
                          <a:blip r:embed="rId130"/>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S5</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the genus the syndrome is defined by; peri-lesional mucosa is purely alpha (15/15), carrying its adjacent condylomata’s types and nothing cutaneous; cell lines are alpha (13% [10–15]), the integrated HPV16/HPV18 contamination signature; unselected skin is flat and low, with alpha, beta and gamma at indistinguishable rates near 0.27% [0.16–0.40] and the study’s only nu detections (2/7327 libraries, HPV41), the profile of a sparse commensal reservoir rather than of any one disease; and cutaneous neoplasia is the one tissue tier in which beta exceeds alpha (2.6% [1.3–4.3] versus 1.9% [0.86–3.4]), consistent with a beta-HPV footprint, though at prevalences one to two orders of magnitude below the productive tiers. The mu genus (HPV1, the classic plantar-wart type) was detected in no tier.</w:t>
            </w:r>
          </w:p>
          <w:bookmarkEnd w:id="1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S6: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w:t>
            </w:r>
            <w:r>
              <w:t xml:space="preserve"> </w:t>
            </w:r>
            <w:r>
              <w:t xml:space="preserve">“other-tissue”</w:t>
            </w:r>
            <w:r>
              <w:t xml:space="preserve"> </w:t>
            </w:r>
            <w:r>
              <w:t xml:space="preserve">carcinoma and actinic-keratosis libraries (ERR2274877, ERR1971044) carry the gamma-types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34"/>
        </w:tc>
      </w:tr>
    </w:tbl>
    <w:bookmarkEnd w:id="13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21" Target="media/rId121.png" /><Relationship Type="http://schemas.openxmlformats.org/officeDocument/2006/relationships/image" Id="rId130" Target="media/rId130.png" /><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7"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0"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6" Target="https://doi.org/10.1186/s13059-019-1891-0" TargetMode="External" /><Relationship Type="http://schemas.openxmlformats.org/officeDocument/2006/relationships/hyperlink" Id="rId105" Target="https://doi.org/10.1371/journal.pone.0163962" TargetMode="External" /><Relationship Type="http://schemas.openxmlformats.org/officeDocument/2006/relationships/hyperlink" Id="rId112"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7"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0"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6" Target="https://doi.org/10.1186/s13059-019-1891-0" TargetMode="External" /><Relationship Type="http://schemas.openxmlformats.org/officeDocument/2006/relationships/hyperlink" Id="rId105" Target="https://doi.org/10.1371/journal.pone.0163962" TargetMode="External" /><Relationship Type="http://schemas.openxmlformats.org/officeDocument/2006/relationships/hyperlink" Id="rId112"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2026-07-10T15:49:24Z</dcterms:created>
  <dcterms:modified xsi:type="dcterms:W3CDTF">2026-07-10T15:49:24Z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