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carcinoma and keratosis specimens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et al. 2019a)</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et al. 2019b)</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during early cancer development but becomes dispensable once the tumor forms</w:t>
      </w:r>
      <w:r>
        <w:t xml:space="preserve"> </w:t>
      </w:r>
      <w:r>
        <w:t xml:space="preserve">(Dorfer et al. 2021; Viarisio et al. 2018)</w:t>
      </w:r>
      <w:r>
        <w:t xml:space="preserve">. Alternatively, the protective-immunity theory suggests T-cell immunity to regular papillomaviruses actively suppresses skin cancer, meaning viral loss reflects immune selection</w:t>
      </w:r>
      <w:r>
        <w:t xml:space="preserve"> </w:t>
      </w:r>
      <w:r>
        <w:t xml:space="preserve">(Lambert et al. 2021; Strickley et al. 2021; Strickley et al. 2019)</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w:t>
      </w:r>
      <w:r>
        <w:t xml:space="preserve">. Under hit-and-run the decline is not predicted by dispensability itself, which is a claim about requirement rather than persistence, but follows from it: papillomavirus episomes are maintained only by active tethering to mitotic chromosomes, so a genome nothing selects for is diluted out of the expanding clone</w:t>
      </w:r>
      <w:r>
        <w:t xml:space="preserve"> </w:t>
      </w:r>
      <w:r>
        <w:t xml:space="preserve">(You et al. 2004)</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et al.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(Bhargava et al. 2025; Leiendecker et al. 2023)</w:t>
      </w:r>
      <w:r>
        <w:t xml:space="preserve">. However, the method is booby-trapped. HeLa-derived HPV18 contaminates archived data extensively</w:t>
      </w:r>
      <w:r>
        <w:t xml:space="preserve"> </w:t>
      </w:r>
      <w:r>
        <w:t xml:space="preserve">(Adey et al. 2013; Cantalupo et al. 2015; Kazemian et al. 2015)</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met the assignment criterion in 34 libraries cohort-wide, of which 32 were cell lines and none were tissue; HPV16 in 28, of which 24 were cell lines. This is the signature of integrated-HPV lines and their documented contamination of archived data. Genuine primary skin therefore shows detectable HPV transcription in only 2–4% of libraries. Much of the apparent HPV signal in public transcriptomes likely reflects laboratory-derived artifacts, which must be separated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provided junctions are scored as clustering rather than raw count. The ratio also rises monotonically with grade in an independent HPV16-positive cervical series: the median ratio runs from 0.36 in normal epithelium through 0.78 in high-grade lesion to 2.77 in carcinoma, a 7.7-fold rise (</w:t>
      </w:r>
      <w:hyperlink w:anchor="fig-integration">
        <w:r>
          <w:rPr>
            <w:rStyle w:val="Hyperlink"/>
          </w:rPr>
          <w:t xml:space="preserve">Figure 1</w:t>
        </w:r>
      </w:hyperlink>
      <w:r>
        <w:t xml:space="preserve"> </w:t>
      </w:r>
      <w:r>
        <w:t xml:space="preserve">c, plotted on the log</w:t>
      </w:r>
      <w:r>
        <w:rPr>
          <w:vertAlign w:val="subscript"/>
        </w:rPr>
        <w:t xml:space="preserve">2</w:t>
      </w:r>
      <w:r>
        <w:t xml:space="preserve"> </w:t>
      </w:r>
      <w:r>
        <w:t xml:space="preserve">scale). Late transcription falls away along the same axis. The carcinoma median still sits well below the cell-line median. This fits either a mixture of integrated and episomal genomes or admixture of non-tumor epithelium in a bulk biopsy. The rise in primary tissue suggests that the marker reflects viral integration as a biological process rather than merely culture-derived artifacts.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group, log</w:t>
            </w:r>
            <w:r>
              <w:rPr>
                <w:vertAlign w:val="subscript"/>
              </w:rPr>
              <w:t xml:space="preserve">2</w:t>
            </w:r>
            <w:r>
              <w:t xml:space="preserve">((E1 + 0.5)/(E2 + 0.5)), for libraries with at least five combined reads; dashed line, parity. The episomal HPV31-positive HaCaT derivative falls among primary tissue. (</w:t>
            </w:r>
            <w:r>
              <w:rPr>
                <w:b/>
                <w:bCs/>
              </w:rPr>
              <w:t xml:space="preserve">b</w:t>
            </w:r>
            <w:r>
              <w:t xml:space="preserve">) Virus-host chimeric junctions: the fraction at a library’s most-supported coordinate pair against the raw junction count; dashed gray line, the 0.2 clustering threshold. (</w:t>
            </w:r>
            <w:r>
              <w:rPr>
                <w:b/>
                <w:bCs/>
              </w:rPr>
              <w:t xml:space="preserve">c</w:t>
            </w:r>
            <w:r>
              <w:t xml:space="preserve">) E1:E2 ratio in a graded HPV16-positive cervical series (SRP252916) of normal epithelium, high-grade squamous intraepithelial lesion (HSIL) and carcinoma, sequenced under one protocol. Open circles, libraries (</w:t>
            </w:r>
            <w:r>
              <w:rPr>
                <w:i/>
                <w:iCs/>
              </w:rPr>
              <w:t xml:space="preserve">n</w:t>
            </w:r>
            <w:r>
              <w:t xml:space="preserve"> </w:t>
            </w:r>
            <w:r>
              <w:t xml:space="preserve">= 3, 6 and 6 by grade; the HPV-negative controls returned no HPV and are not plotted); filled diamonds, arm medians joined by a solid line; dashed line, parity.</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groups run the complete viral program, capsid genes included (L1 in 90% of productive controls, 95.5% of EV;</w:t>
      </w:r>
      <w:r>
        <w:t xml:space="preserve"> </w:t>
      </w:r>
      <w:hyperlink w:anchor="fig-orf">
        <w:r>
          <w:rPr>
            <w:rStyle w:val="Hyperlink"/>
          </w:rPr>
          <w:t xml:space="preserve">Figure 3</w:t>
        </w:r>
      </w:hyperlink>
      <w:r>
        <w:t xml:space="preserve"> </w:t>
      </w:r>
      <w:r>
        <w:t xml:space="preserve">a). Skin and neoplasia are not a truncated program but a uniformly faint one, low across all six frames alike (unselected skin 10.3% for E6, 18.6% for L1). Cell lines are the third shape: E6 and E7 in 90.4% and 93.4% against E2 in 33.8% and L2 in 10.6%. In composition (</w:t>
      </w:r>
      <w:hyperlink w:anchor="fig-orf">
        <w:r>
          <w:rPr>
            <w:rStyle w:val="Hyperlink"/>
          </w:rPr>
          <w:t xml:space="preserve">Figure 3</w:t>
        </w:r>
      </w:hyperlink>
      <w:r>
        <w:t xml:space="preserve"> </w:t>
      </w:r>
      <w:r>
        <w:t xml:space="preserve">b), productive controls place 34.9% of viral reads on late genes against 6.4% on the oncogenes; cell lines invert this exactly. Read one library at a time, the same split falls out of the criterion itself, productive controls and EV above the L1 ≥ 3 threshold and skin and neoplasia below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Rows show the assigned-type catalog, the detection-level trace catalog and their union, collapsed from type to genus; a library contributes to at most one of the first two rows. Each point is the percentage of the group’s libraries carrying the genus (Beta-Binomial posterior mean, Beta(0.5, 0.5) prior), the bar its 95% credible interval, and the number above it the count of libraries. Gray crosses mark a genus never detected in that group, drawn at the floor of the log-scaled</w:t>
            </w:r>
            <w:r>
              <w:t xml:space="preserve"> </w:t>
            </w:r>
            <w:r>
              <w:rPr>
                <w:i/>
                <w:iCs/>
              </w:rPr>
              <w:t xml:space="preserve">y</w:t>
            </w:r>
            <w:r>
              <w:t xml:space="preserve">-axis, where the tick labeled 0 stands for zero.</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Silence is only informative against a reservoir known to exist, so we re-tabulated a petabase-scale papillomavirus catalog of public metagenome assemblies</w:t>
      </w:r>
      <w:r>
        <w:t xml:space="preserve"> </w:t>
      </w:r>
      <w:r>
        <w:t xml:space="preserve">(Chikhi et al. 2024; Shen et al. 2026)</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screened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against its transcriptional silence. Re-tabulation of a Logan-wide papillomavirus catalog</w:t>
            </w:r>
            <w:r>
              <w:t xml:space="preserve"> </w:t>
            </w:r>
            <w:r>
              <w:t xml:space="preserve">(Shen et al. 2026)</w:t>
            </w:r>
            <w:r>
              <w:t xml:space="preserve"> </w:t>
            </w:r>
            <w:r>
              <w:t xml:space="preserve">by body site, restricted to skin (Methods; body-site validation in</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(composition, not prevalence: a co-infected library counts under each type). Beside each bar are the type’s assigned and detection-level counts among the 7,800 unselected-skin RNA libraries, shaded where non-zero.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abundant</w:t>
            </w:r>
            <w:r>
              <w:t xml:space="preserve"> </w:t>
            </w:r>
            <w:r>
              <w:rPr>
                <w:i/>
                <w:iCs/>
              </w:rPr>
              <w:t xml:space="preserve">and</w:t>
            </w:r>
            <w:r>
              <w:t xml:space="preserve"> </w:t>
            </w:r>
            <w:r>
              <w:t xml:space="preserve">productive, is the conjunction the reservoir-to-disease inference assumes; HPV2 is its only occupant.</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Against the prior RNA-seq and in situ reports of silence in cutaneous carcinoma (Introduction), our study adds rigorous controls, a clear denominator, and a defined metric. While past work evaluated 11 to 345 specimens, we jointly analyze 406 cSCC/AK libraries and 7,800 unselected-skin libraries in one pipeline. This turns an absence report into a case-control comparison with an effect size. We score productive replication, not just presence, against a baseline of confirmed productive lesions: the same instrument that finds no productive infection in cSCC/AK reports 93.2% productivity in warts.</w:t>
      </w:r>
    </w:p>
    <w:p>
      <w:pPr>
        <w:pStyle w:val="BodyText"/>
      </w:pPr>
      <w:r>
        <w:t xml:space="preserve">This result does not settle the mechanism, because all three models predict a declining viral signal along the progression axis. The hit-and-run model works because a genome that nothing selects for is lost from the expanding clone, dispensability being what permits that loss rather than what causes it</w:t>
      </w:r>
      <w:r>
        <w:t xml:space="preserve"> </w:t>
      </w:r>
      <w:r>
        <w:t xml:space="preserve">(You et al. 2004)</w:t>
      </w:r>
      <w:r>
        <w:t xml:space="preserve">. Protective immunity works because virus-positive cells face negative selection</w:t>
      </w:r>
      <w:r>
        <w:t xml:space="preserve"> </w:t>
      </w:r>
      <w:r>
        <w:t xml:space="preserve">(Son et al. 2025; Strickley et al. 2019)</w:t>
      </w:r>
      <w:r>
        <w:t xml:space="preserve">. Cis-restriction works because quiescence is the viral default</w:t>
      </w:r>
      <w:r>
        <w:t xml:space="preserve"> </w:t>
      </w:r>
      <w:r>
        <w:t xml:space="preserve">(Rehm et al. 2022)</w:t>
      </w:r>
      <w:r>
        <w:t xml:space="preserve">. A fourth consideration is not a model but a property of the readout: late transcription requires terminal differentiation</w:t>
      </w:r>
      <w:r>
        <w:t xml:space="preserve"> </w:t>
      </w:r>
      <w:r>
        <w:t xml:space="preserve">(Doorbar et al. 2012)</w:t>
      </w:r>
      <w:r>
        <w:t xml:space="preserve">, so a poorly differentiated tumor cannot run the late program regardless. Our trace decomposition answers it, since 63% of below-floor skin and neoplasia libraries carry no reads on any HPV gene at all, not merely no late ones (</w:t>
      </w:r>
      <w:hyperlink w:anchor="suppfig-trace">
        <w:r>
          <w:rPr>
            <w:rStyle w:val="Hyperlink"/>
          </w:rPr>
          <w:t xml:space="preserve">Figure S2</w:t>
        </w:r>
      </w:hyperlink>
      <w:r>
        <w:t xml:space="preserve">). Our data measure this exact axis and cannot separate the three models. Nor does absent transcription imply clearance: episomal genomes may persist silently, or with intermittent activity, below the detection limit of bulk RNA sequencing. Likewise, absent productive transcription in established lesions does not exclude a transient viral contribution earlier in carcinogenesis.</w:t>
      </w:r>
    </w:p>
    <w:p>
      <w:pPr>
        <w:pStyle w:val="BodyText"/>
      </w:pPr>
      <w:r>
        <w:t xml:space="preserve">The elevated beta-HPV activity that Son and colleagues found in keratinocyte clones of sun-exposed skin</w:t>
      </w:r>
      <w:r>
        <w:t xml:space="preserve"> </w:t>
      </w:r>
      <w:r>
        <w:t xml:space="preserve">(Son et al. 2025)</w:t>
      </w:r>
      <w:r>
        <w:t xml:space="preserve"> </w:t>
      </w:r>
      <w:r>
        <w:t xml:space="preserve">does not conflict with our quiet reservoir, because we sequenced whole biopsies without sorting for ultraviolet exposure. A signal arising from small keratinocyte clones is diluted when averaged across an entire biopsy, a documented effect for cutaneous HPV</w:t>
      </w:r>
      <w:r>
        <w:t xml:space="preserve"> </w:t>
      </w:r>
      <w:r>
        <w:t xml:space="preserve">(Purdie et al. 2005)</w:t>
      </w:r>
      <w:r>
        <w:t xml:space="preserve">. The same logic applies to the HPV8-driven expansion of Lrig1⁺ follicular stem cells in actinic keratosis</w:t>
      </w:r>
      <w:r>
        <w:t xml:space="preserve"> </w:t>
      </w:r>
      <w:r>
        <w:t xml:space="preserve">(Morgan et al. 2024)</w:t>
      </w:r>
      <w:r>
        <w:t xml:space="preserve">. We nevertheless agree on viral presence: we recovered trace HPV from 62.5% of AK libraries. HPV8 itself, however, was absent at any level from all 10,834 analyzed RNA libraries. That absence argues against persistent productive HPV8 transcription in established lesions while remaining compatible with transient, focal or latent activity. An E6-driven stem cell mechanism requires oncogene function, not capsid production, which matches our non-productive footprint. The nine-valent vaccine reduced the burden of actinic keratosis in a randomized trial</w:t>
      </w:r>
      <w:r>
        <w:t xml:space="preserve"> </w:t>
      </w:r>
      <w:r>
        <w:t xml:space="preserve">(Wenande et al. 2025)</w:t>
      </w:r>
      <w:r>
        <w:t xml:space="preserve">. It targets mucosal alpha types, not the resident beta reservoir, so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thus not a ceiling on what beta-HPV can do in skin. No productive HPV12, HPV96 or HPV182 has to our knowledge been described from public RNA-seq of primary skin.</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et al. 2019a)</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dominated by contamination. Cultured materials show a five-fold enrichment that reflects known HeLa cell contamination in archives</w:t>
      </w:r>
      <w:r>
        <w:t xml:space="preserve"> </w:t>
      </w:r>
      <w:r>
        <w:t xml:space="preserve">(Adey et al. 2013; Cantalupo et al. 2015; Kazemian et al. 2015)</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Because a biopsy average dilutes focal transcription (above), our productivity estimates are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is productive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outcome, more precise measurement of viral activity will not separate them. That requires study designs that break the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0"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50"/>
    <w:bookmarkStart w:id="53" w:name="orcids"/>
    <w:p>
      <w:pPr>
        <w:pStyle w:val="Heading2"/>
      </w:pPr>
      <w:r>
        <w:t xml:space="preserve">ORCiDs</w:t>
      </w:r>
    </w:p>
    <w:p>
      <w:pPr>
        <w:pStyle w:val="FirstParagraph"/>
      </w:pPr>
      <w:r>
        <w:t xml:space="preserve">Taavi Päll:</w:t>
      </w:r>
      <w:r>
        <w:t xml:space="preserve"> </w:t>
      </w:r>
      <w:hyperlink r:id="rId51">
        <w:r>
          <w:rPr>
            <w:rStyle w:val="Hyperlink"/>
          </w:rPr>
          <w:t xml:space="preserve">https://orcid.org/0000-0001-7606-675X</w:t>
        </w:r>
      </w:hyperlink>
    </w:p>
    <w:p>
      <w:pPr>
        <w:pStyle w:val="BodyText"/>
      </w:pPr>
      <w:r>
        <w:t xml:space="preserve">Alla Piirsoo:</w:t>
      </w:r>
      <w:r>
        <w:t xml:space="preserve"> </w:t>
      </w:r>
      <w:hyperlink r:id="rId52">
        <w:r>
          <w:rPr>
            <w:rStyle w:val="Hyperlink"/>
          </w:rPr>
          <w:t xml:space="preserve">https://orcid.org/0000-0001-6843-7127</w:t>
        </w:r>
      </w:hyperlink>
    </w:p>
    <w:p>
      <w:pPr>
        <w:pStyle w:val="BodyText"/>
      </w:pPr>
      <w:r>
        <w:t xml:space="preserve">Marko Piirsoo: [to be completed]</w:t>
      </w:r>
    </w:p>
    <w:bookmarkEnd w:id="53"/>
    <w:bookmarkStart w:id="54"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54"/>
    <w:bookmarkStart w:id="5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6">
        <w:r>
          <w:rPr>
            <w:rStyle w:val="Hyperlink"/>
          </w:rPr>
          <w:t xml:space="preserve">https://pave.niaid.nih.gov</w:t>
        </w:r>
      </w:hyperlink>
      <w:r>
        <w:t xml:space="preserve">) and NCBI RefSeq. No new sequencing data were generated.</w:t>
      </w:r>
    </w:p>
    <w:bookmarkEnd w:id="57"/>
    <w:bookmarkStart w:id="58" w:name="conflict-of-interest"/>
    <w:p>
      <w:pPr>
        <w:pStyle w:val="Heading2"/>
      </w:pPr>
      <w:r>
        <w:t xml:space="preserve">Conflict of Interest</w:t>
      </w:r>
    </w:p>
    <w:p>
      <w:pPr>
        <w:pStyle w:val="FirstParagraph"/>
      </w:pPr>
      <w:r>
        <w:t xml:space="preserve">The authors state no conflict of interest.</w:t>
      </w:r>
    </w:p>
    <w:bookmarkEnd w:id="58"/>
    <w:bookmarkStart w:id="59"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9"/>
    <w:bookmarkStart w:id="60" w:name="author-contributions-statement"/>
    <w:p>
      <w:pPr>
        <w:pStyle w:val="Heading2"/>
      </w:pPr>
      <w:r>
        <w:t xml:space="preserve">Author Contributions Statement</w:t>
      </w:r>
    </w:p>
    <w:p>
      <w:pPr>
        <w:pStyle w:val="FirstParagraph"/>
      </w:pPr>
      <w:r>
        <w:t xml:space="preserve">[To be completed, CRediT-compliant.] Conceptualization: AP; Data Curation: ; Formal Analysis: ; Funding Acquisition: ; Investigation: ; Methodology: ; Project Administration: ; Resources: ; Software: ; Supervision: ; Validation: AP; Visualization: ; Writing - Original Draft Preparation: ; Writing - Review and Editing: AP.</w:t>
      </w:r>
    </w:p>
    <w:bookmarkEnd w:id="60"/>
    <w:bookmarkStart w:id="61" w:name="declaration-of-generative-ai-use"/>
    <w:p>
      <w:pPr>
        <w:pStyle w:val="Heading2"/>
      </w:pPr>
      <w:r>
        <w:t xml:space="preserve">Declaration of Generative AI Use</w:t>
      </w:r>
    </w:p>
    <w:p>
      <w:pPr>
        <w:pStyle w:val="FirstParagraph"/>
      </w:pPr>
      <w:r>
        <w:t xml:space="preserve">During this work the authors used Claude (Anthropic) to assist with writing and debugging the analysis pipeline and statistical code, and with editing the manuscript text, and Microsoft Copilot to help draft review comments on the manuscript. The authors reviewed and edited all output and take full responsibility for the content of the publication.</w:t>
      </w:r>
    </w:p>
    <w:bookmarkEnd w:id="61"/>
    <w:bookmarkStart w:id="161" w:name="references"/>
    <w:p>
      <w:pPr>
        <w:pStyle w:val="Heading2"/>
      </w:pPr>
      <w:r>
        <w:t xml:space="preserve">References</w:t>
      </w:r>
    </w:p>
    <w:bookmarkStart w:id="160" w:name="refs"/>
    <w:bookmarkStart w:id="63" w:name="ref-adey2013"/>
    <w:p>
      <w:pPr>
        <w:pStyle w:val="Bibliography"/>
      </w:pPr>
      <w:r>
        <w:t xml:space="preserve">Adey A, Burton JN, Kitzman JO, Hiatt JB, Lewis AP, Martin BK, et al.</w:t>
      </w:r>
      <w:r>
        <w:t xml:space="preserve"> </w:t>
      </w:r>
      <w:hyperlink r:id="rId62">
        <w:r>
          <w:rPr>
            <w:rStyle w:val="Hyperlink"/>
          </w:rPr>
          <w:t xml:space="preserve">The haplotype-resolved genome and epigenome of the aneuploid</w:t>
        </w:r>
        <w:r>
          <w:rPr>
            <w:rStyle w:val="Hyperlink"/>
          </w:rPr>
          <w:t xml:space="preserve"> </w:t>
        </w:r>
        <w:r>
          <w:rPr>
            <w:rStyle w:val="Hyperlink"/>
          </w:rPr>
          <w:t xml:space="preserve">HeLa</w:t>
        </w:r>
        <w:r>
          <w:rPr>
            <w:rStyle w:val="Hyperlink"/>
          </w:rPr>
          <w:t xml:space="preserve"> </w:t>
        </w:r>
        <w:r>
          <w:rPr>
            <w:rStyle w:val="Hyperlink"/>
          </w:rPr>
          <w:t xml:space="preserve">cancer cell line</w:t>
        </w:r>
      </w:hyperlink>
      <w:r>
        <w:t xml:space="preserve">. Nature. 2013;500:207–11</w:t>
      </w:r>
    </w:p>
    <w:bookmarkEnd w:id="63"/>
    <w:bookmarkStart w:id="65" w:name="ref-antonsson2000"/>
    <w:p>
      <w:pPr>
        <w:pStyle w:val="Bibliography"/>
      </w:pPr>
      <w:r>
        <w:t xml:space="preserve">Antonsson A, Forslund O, Ekberg H, Sterner G, Hansson BG.</w:t>
      </w:r>
      <w:r>
        <w:t xml:space="preserve"> </w:t>
      </w:r>
      <w:hyperlink r:id="rId64">
        <w:r>
          <w:rPr>
            <w:rStyle w:val="Hyperlink"/>
          </w:rPr>
          <w:t xml:space="preserve">The ubiquity and impressive genomic diversity of human skin papillomaviruses suggest a commensalic nature of these viruses</w:t>
        </w:r>
      </w:hyperlink>
      <w:r>
        <w:t xml:space="preserve">. Journal of Virology. 2000;74(24):11636–41</w:t>
      </w:r>
    </w:p>
    <w:bookmarkEnd w:id="65"/>
    <w:bookmarkStart w:id="67" w:name="ref-arron2011"/>
    <w:p>
      <w:pPr>
        <w:pStyle w:val="Bibliography"/>
      </w:pPr>
      <w:r>
        <w:t xml:space="preserve">Arron ST, Graham Ruby J, Dybbro E, Ganem D, DeRisi JL.</w:t>
      </w:r>
      <w:r>
        <w:t xml:space="preserve"> </w:t>
      </w:r>
      <w:hyperlink r:id="rId66">
        <w:r>
          <w:rPr>
            <w:rStyle w:val="Hyperlink"/>
          </w:rPr>
          <w:t xml:space="preserve">Transcriptome sequencing demonstrates that human papillomavirus is not active in cutaneous squamous cell carcinoma</w:t>
        </w:r>
      </w:hyperlink>
      <w:r>
        <w:t xml:space="preserve">. Journal of Investigative Dermatology. 2011;131(8):1745–53</w:t>
      </w:r>
    </w:p>
    <w:bookmarkEnd w:id="67"/>
    <w:bookmarkStart w:id="69" w:name="ref-arroyomuhr2021"/>
    <w:p>
      <w:pPr>
        <w:pStyle w:val="Bibliography"/>
      </w:pPr>
      <w:r>
        <w:t xml:space="preserve">Arroyo Mühr LS, Hultin E, Dillner J.</w:t>
      </w:r>
      <w:r>
        <w:t xml:space="preserve"> </w:t>
      </w:r>
      <w:hyperlink r:id="rId68">
        <w:r>
          <w:rPr>
            <w:rStyle w:val="Hyperlink"/>
          </w:rPr>
          <w:t xml:space="preserve">Transcription of human papillomaviruses in nonmelanoma skin cancers of the immunosuppressed</w:t>
        </w:r>
      </w:hyperlink>
      <w:r>
        <w:t xml:space="preserve">. International Journal of Cancer. 2021;149(6):1341–7</w:t>
      </w:r>
    </w:p>
    <w:bookmarkEnd w:id="69"/>
    <w:bookmarkStart w:id="71" w:name="ref-asplund2019"/>
    <w:p>
      <w:pPr>
        <w:pStyle w:val="Bibliography"/>
      </w:pPr>
      <w:r>
        <w:t xml:space="preserve">Asplund M, Kjartansdóttir KR, Mollerup S, Vinner L, Fridholm H, Herrera JAR, et al.</w:t>
      </w:r>
      <w:r>
        <w:t xml:space="preserve"> </w:t>
      </w:r>
      <w:hyperlink r:id="rId70">
        <w:r>
          <w:rPr>
            <w:rStyle w:val="Hyperlink"/>
          </w:rPr>
          <w:t xml:space="preserve">Contaminating viral sequences in high-throughput sequencing viromics: A linkage study of 700 sequencing libraries</w:t>
        </w:r>
      </w:hyperlink>
      <w:r>
        <w:t xml:space="preserve">. Clinical Microbiology and Infection. 2019;25(10):1277–85</w:t>
      </w:r>
    </w:p>
    <w:bookmarkEnd w:id="71"/>
    <w:bookmarkStart w:id="73" w:name="ref-bhargava2025"/>
    <w:p>
      <w:pPr>
        <w:pStyle w:val="Bibliography"/>
      </w:pPr>
      <w:r>
        <w:t xml:space="preserve">Bhargava D, Labadie A, Hanson-Rios-Stutz RL, Goodyke A, Moses EM, Das AS, et al.</w:t>
      </w:r>
      <w:r>
        <w:t xml:space="preserve"> </w:t>
      </w:r>
      <w:hyperlink r:id="rId72">
        <w:r>
          <w:rPr>
            <w:rStyle w:val="Hyperlink"/>
          </w:rPr>
          <w:t xml:space="preserve">From castaways to discoveries: Unveiling treasures in skin</w:t>
        </w:r>
        <w:r>
          <w:rPr>
            <w:rStyle w:val="Hyperlink"/>
          </w:rPr>
          <w:t xml:space="preserve"> </w:t>
        </w:r>
        <w:r>
          <w:rPr>
            <w:rStyle w:val="Hyperlink"/>
          </w:rPr>
          <w:t xml:space="preserve">RNAseq</w:t>
        </w:r>
        <w:r>
          <w:rPr>
            <w:rStyle w:val="Hyperlink"/>
          </w:rPr>
          <w:t xml:space="preserve"> </w:t>
        </w:r>
        <w:r>
          <w:rPr>
            <w:rStyle w:val="Hyperlink"/>
          </w:rPr>
          <w:t xml:space="preserve">using a novel multidimensional data processing workflow including infection-host dynamics</w:t>
        </w:r>
      </w:hyperlink>
      <w:r>
        <w:t xml:space="preserve">. Physiological Genomics. 2025;57(5):343–56</w:t>
      </w:r>
    </w:p>
    <w:bookmarkEnd w:id="73"/>
    <w:bookmarkStart w:id="75" w:name="ref-bzhalava2014"/>
    <w:p>
      <w:pPr>
        <w:pStyle w:val="Bibliography"/>
      </w:pPr>
      <w:r>
        <w:t xml:space="preserve">Bzhalava D, Arroyo Mühr LS, Lagheden C, Ekström J, Forslund O, Dillner J, et al.</w:t>
      </w:r>
      <w:r>
        <w:t xml:space="preserve"> </w:t>
      </w:r>
      <w:hyperlink r:id="rId74">
        <w:r>
          <w:rPr>
            <w:rStyle w:val="Hyperlink"/>
          </w:rPr>
          <w:t xml:space="preserve">Deep sequencing extends the diversity of human papillomaviruses in human skin</w:t>
        </w:r>
      </w:hyperlink>
      <w:r>
        <w:t xml:space="preserve">. Scientific Reports. 2014;4:5807</w:t>
      </w:r>
    </w:p>
    <w:bookmarkEnd w:id="75"/>
    <w:bookmarkStart w:id="77" w:name="ref-cantalupo2015"/>
    <w:p>
      <w:pPr>
        <w:pStyle w:val="Bibliography"/>
      </w:pPr>
      <w:r>
        <w:t xml:space="preserve">Cantalupo PG, Katz JP, Pipas JM.</w:t>
      </w:r>
      <w:r>
        <w:t xml:space="preserve"> </w:t>
      </w:r>
      <w:hyperlink r:id="rId76">
        <w:r>
          <w:rPr>
            <w:rStyle w:val="Hyperlink"/>
          </w:rPr>
          <w:t xml:space="preserve">HeLa</w:t>
        </w:r>
        <w:r>
          <w:rPr>
            <w:rStyle w:val="Hyperlink"/>
          </w:rPr>
          <w:t xml:space="preserve"> </w:t>
        </w:r>
        <w:r>
          <w:rPr>
            <w:rStyle w:val="Hyperlink"/>
          </w:rPr>
          <w:t xml:space="preserve">nucleic acid contamination in</w:t>
        </w:r>
        <w:r>
          <w:rPr>
            <w:rStyle w:val="Hyperlink"/>
          </w:rPr>
          <w:t xml:space="preserve"> </w:t>
        </w:r>
        <w:r>
          <w:rPr>
            <w:rStyle w:val="Hyperlink"/>
          </w:rPr>
          <w:t xml:space="preserve">The Cancer Genome Atlas</w:t>
        </w:r>
        <w:r>
          <w:rPr>
            <w:rStyle w:val="Hyperlink"/>
          </w:rPr>
          <w:t xml:space="preserve"> </w:t>
        </w:r>
        <w:r>
          <w:rPr>
            <w:rStyle w:val="Hyperlink"/>
          </w:rPr>
          <w:t xml:space="preserve">leads to the misidentification of human papillomavirus 18</w:t>
        </w:r>
      </w:hyperlink>
      <w:r>
        <w:t xml:space="preserve">. Journal of Virology. 2015;89(8):4051–7</w:t>
      </w:r>
    </w:p>
    <w:bookmarkEnd w:id="77"/>
    <w:bookmarkStart w:id="79" w:name="ref-cantalupo2019"/>
    <w:p>
      <w:pPr>
        <w:pStyle w:val="Bibliography"/>
      </w:pPr>
      <w:r>
        <w:t xml:space="preserve">Cantalupo PG, Pipas JM.</w:t>
      </w:r>
      <w:r>
        <w:t xml:space="preserve"> </w:t>
      </w:r>
      <w:hyperlink r:id="rId78">
        <w:r>
          <w:rPr>
            <w:rStyle w:val="Hyperlink"/>
          </w:rPr>
          <w:t xml:space="preserve">Detecting viral sequences in</w:t>
        </w:r>
        <w:r>
          <w:rPr>
            <w:rStyle w:val="Hyperlink"/>
          </w:rPr>
          <w:t xml:space="preserve"> </w:t>
        </w:r>
        <w:r>
          <w:rPr>
            <w:rStyle w:val="Hyperlink"/>
          </w:rPr>
          <w:t xml:space="preserve">NGS</w:t>
        </w:r>
        <w:r>
          <w:rPr>
            <w:rStyle w:val="Hyperlink"/>
          </w:rPr>
          <w:t xml:space="preserve"> </w:t>
        </w:r>
        <w:r>
          <w:rPr>
            <w:rStyle w:val="Hyperlink"/>
          </w:rPr>
          <w:t xml:space="preserve">data</w:t>
        </w:r>
      </w:hyperlink>
      <w:r>
        <w:t xml:space="preserve">. Current Opinion in Virology. 2019;39:41–8</w:t>
      </w:r>
    </w:p>
    <w:bookmarkEnd w:id="79"/>
    <w:bookmarkStart w:id="81" w:name="ref-chen2018"/>
    <w:p>
      <w:pPr>
        <w:pStyle w:val="Bibliography"/>
      </w:pPr>
      <w:r>
        <w:t xml:space="preserve">Chen S, Zhou Y, Chen Y, Gu J.</w:t>
      </w:r>
      <w:r>
        <w:t xml:space="preserve"> </w:t>
      </w:r>
      <w:hyperlink r:id="rId80">
        <w:r>
          <w:rPr>
            <w:rStyle w:val="Hyperlink"/>
          </w:rPr>
          <w:t xml:space="preserve">Fastp: An ultra-fast all-in-one</w:t>
        </w:r>
        <w:r>
          <w:rPr>
            <w:rStyle w:val="Hyperlink"/>
          </w:rPr>
          <w:t xml:space="preserve"> </w:t>
        </w:r>
        <w:r>
          <w:rPr>
            <w:rStyle w:val="Hyperlink"/>
          </w:rPr>
          <w:t xml:space="preserve">FASTQ</w:t>
        </w:r>
        <w:r>
          <w:rPr>
            <w:rStyle w:val="Hyperlink"/>
          </w:rPr>
          <w:t xml:space="preserve"> </w:t>
        </w:r>
        <w:r>
          <w:rPr>
            <w:rStyle w:val="Hyperlink"/>
          </w:rPr>
          <w:t xml:space="preserve">preprocessor</w:t>
        </w:r>
      </w:hyperlink>
      <w:r>
        <w:t xml:space="preserve">. Bioinformatics. 2018;34(17):i884–90</w:t>
      </w:r>
    </w:p>
    <w:bookmarkEnd w:id="81"/>
    <w:bookmarkStart w:id="83" w:name="ref-chikhi2024"/>
    <w:p>
      <w:pPr>
        <w:pStyle w:val="Bibliography"/>
      </w:pPr>
      <w:r>
        <w:t xml:space="preserve">Chikhi R, Raffestin B, Korobeynikov A, Edgar R, Babaian A.</w:t>
      </w:r>
      <w:r>
        <w:t xml:space="preserve"> </w:t>
      </w:r>
      <w:hyperlink r:id="rId82">
        <w:r>
          <w:rPr>
            <w:rStyle w:val="Hyperlink"/>
          </w:rPr>
          <w:t xml:space="preserve">Logan: Planetary-scale genome assembly surveys life’s diversity</w:t>
        </w:r>
      </w:hyperlink>
      <w:r>
        <w:t xml:space="preserve">. bioRxiv. 2024;</w:t>
      </w:r>
    </w:p>
    <w:bookmarkEnd w:id="83"/>
    <w:bookmarkStart w:id="85" w:name="ref-danecek2021"/>
    <w:p>
      <w:pPr>
        <w:pStyle w:val="Bibliography"/>
      </w:pPr>
      <w:r>
        <w:t xml:space="preserve">Danecek P, Bonfield JK, Liddle J, Marshall J, Ohan V, Pollard MO, et al.</w:t>
      </w:r>
      <w:r>
        <w:t xml:space="preserve"> </w:t>
      </w:r>
      <w:hyperlink r:id="rId84">
        <w:r>
          <w:rPr>
            <w:rStyle w:val="Hyperlink"/>
          </w:rPr>
          <w:t xml:space="preserve">Twelve years of</w:t>
        </w:r>
        <w:r>
          <w:rPr>
            <w:rStyle w:val="Hyperlink"/>
          </w:rPr>
          <w:t xml:space="preserve"> </w:t>
        </w:r>
        <w:r>
          <w:rPr>
            <w:rStyle w:val="Hyperlink"/>
          </w:rPr>
          <w:t xml:space="preserve">SAMtools</w:t>
        </w:r>
        <w:r>
          <w:rPr>
            <w:rStyle w:val="Hyperlink"/>
          </w:rPr>
          <w:t xml:space="preserve"> </w:t>
        </w:r>
        <w:r>
          <w:rPr>
            <w:rStyle w:val="Hyperlink"/>
          </w:rPr>
          <w:t xml:space="preserve">and</w:t>
        </w:r>
        <w:r>
          <w:rPr>
            <w:rStyle w:val="Hyperlink"/>
          </w:rPr>
          <w:t xml:space="preserve"> </w:t>
        </w:r>
        <w:r>
          <w:rPr>
            <w:rStyle w:val="Hyperlink"/>
          </w:rPr>
          <w:t xml:space="preserve">BCFtools</w:t>
        </w:r>
      </w:hyperlink>
      <w:r>
        <w:t xml:space="preserve">. GigaScience. 2021;10(2):giab008</w:t>
      </w:r>
    </w:p>
    <w:bookmarkEnd w:id="85"/>
    <w:bookmarkStart w:id="87" w:name="ref-devitt2019"/>
    <w:p>
      <w:pPr>
        <w:pStyle w:val="Bibliography"/>
      </w:pPr>
      <w:r>
        <w:t xml:space="preserve">Devitt K, Hanson SJ, Tuong ZK, McMeniman E, Soyer HP, Frazer IH, et al.</w:t>
      </w:r>
      <w:r>
        <w:t xml:space="preserve"> </w:t>
      </w:r>
      <w:hyperlink r:id="rId86">
        <w:r>
          <w:rPr>
            <w:rStyle w:val="Hyperlink"/>
          </w:rPr>
          <w:t xml:space="preserve">Single-cell</w:t>
        </w:r>
        <w:r>
          <w:rPr>
            <w:rStyle w:val="Hyperlink"/>
          </w:rPr>
          <w:t xml:space="preserve"> </w:t>
        </w:r>
        <w:r>
          <w:rPr>
            <w:rStyle w:val="Hyperlink"/>
          </w:rPr>
          <w:t xml:space="preserve">RNA</w:t>
        </w:r>
        <w:r>
          <w:rPr>
            <w:rStyle w:val="Hyperlink"/>
          </w:rPr>
          <w:t xml:space="preserve"> </w:t>
        </w:r>
        <w:r>
          <w:rPr>
            <w:rStyle w:val="Hyperlink"/>
          </w:rPr>
          <w:t xml:space="preserve">sequencing reveals cell type-specific</w:t>
        </w:r>
        <w:r>
          <w:rPr>
            <w:rStyle w:val="Hyperlink"/>
          </w:rPr>
          <w:t xml:space="preserve"> </w:t>
        </w:r>
        <w:r>
          <w:rPr>
            <w:rStyle w:val="Hyperlink"/>
          </w:rPr>
          <w:t xml:space="preserve">HPV</w:t>
        </w:r>
        <w:r>
          <w:rPr>
            <w:rStyle w:val="Hyperlink"/>
          </w:rPr>
          <w:t xml:space="preserve"> </w:t>
        </w:r>
        <w:r>
          <w:rPr>
            <w:rStyle w:val="Hyperlink"/>
          </w:rPr>
          <w:t xml:space="preserve">expression in hyperplastic skin lesions</w:t>
        </w:r>
      </w:hyperlink>
      <w:r>
        <w:t xml:space="preserve">. Virology. 2019;537:14–9</w:t>
      </w:r>
    </w:p>
    <w:bookmarkEnd w:id="87"/>
    <w:bookmarkStart w:id="89" w:name="ref-ditommaso2017"/>
    <w:p>
      <w:pPr>
        <w:pStyle w:val="Bibliography"/>
      </w:pPr>
      <w:r>
        <w:t xml:space="preserve">Di Tommaso P, Chatzou M, Floden EW, Prieto Barja P, Palumbo E, Notredame C.</w:t>
      </w:r>
      <w:r>
        <w:t xml:space="preserve"> </w:t>
      </w:r>
      <w:hyperlink r:id="rId88">
        <w:r>
          <w:rPr>
            <w:rStyle w:val="Hyperlink"/>
          </w:rPr>
          <w:t xml:space="preserve">Nextflow enables reproducible computational workflows</w:t>
        </w:r>
      </w:hyperlink>
      <w:r>
        <w:t xml:space="preserve">. Nature Biotechnology. 2017;35(4):316–9</w:t>
      </w:r>
    </w:p>
    <w:bookmarkEnd w:id="89"/>
    <w:bookmarkStart w:id="91" w:name="ref-dobin2013"/>
    <w:p>
      <w:pPr>
        <w:pStyle w:val="Bibliography"/>
      </w:pPr>
      <w:r>
        <w:t xml:space="preserve">Dobin A, Davis CA, Schlesinger F, Drenkow J, Zaleski C, Jha S, et al.</w:t>
      </w:r>
      <w:r>
        <w:t xml:space="preserve"> </w:t>
      </w:r>
      <w:hyperlink r:id="rId90">
        <w:r>
          <w:rPr>
            <w:rStyle w:val="Hyperlink"/>
          </w:rPr>
          <w:t xml:space="preserve">STAR</w:t>
        </w:r>
        <w:r>
          <w:rPr>
            <w:rStyle w:val="Hyperlink"/>
          </w:rPr>
          <w:t xml:space="preserve">: Ultrafast universal</w:t>
        </w:r>
        <w:r>
          <w:rPr>
            <w:rStyle w:val="Hyperlink"/>
          </w:rPr>
          <w:t xml:space="preserve"> </w:t>
        </w:r>
        <w:r>
          <w:rPr>
            <w:rStyle w:val="Hyperlink"/>
          </w:rPr>
          <w:t xml:space="preserve">RNA-seq</w:t>
        </w:r>
        <w:r>
          <w:rPr>
            <w:rStyle w:val="Hyperlink"/>
          </w:rPr>
          <w:t xml:space="preserve"> </w:t>
        </w:r>
        <w:r>
          <w:rPr>
            <w:rStyle w:val="Hyperlink"/>
          </w:rPr>
          <w:t xml:space="preserve">aligner</w:t>
        </w:r>
      </w:hyperlink>
      <w:r>
        <w:t xml:space="preserve">. Bioinformatics. 2013;29(1):15–21</w:t>
      </w:r>
    </w:p>
    <w:bookmarkEnd w:id="91"/>
    <w:bookmarkStart w:id="92" w:name="ref-doorbar2023"/>
    <w:p>
      <w:pPr>
        <w:pStyle w:val="Bibliography"/>
      </w:pPr>
      <w:r>
        <w:t xml:space="preserve">Doorbar J. The human papillomavirus twilight zone: Latency, immune control and subclinical infection. Tumour Virus Research. 2023;16:200268</w:t>
      </w:r>
    </w:p>
    <w:bookmarkEnd w:id="92"/>
    <w:bookmarkStart w:id="93" w:name="ref-doorbar2012"/>
    <w:p>
      <w:pPr>
        <w:pStyle w:val="Bibliography"/>
      </w:pPr>
      <w:r>
        <w:t xml:space="preserve">Doorbar J, Quint W, Banks L, Bravo IG, Stoler M, Broker TR, et al. The biology and life-cycle of human papillomaviruses. Vaccine. 2012;30(Suppl 5):F55–70</w:t>
      </w:r>
    </w:p>
    <w:bookmarkEnd w:id="93"/>
    <w:bookmarkStart w:id="94" w:name="ref-dorfer2021"/>
    <w:p>
      <w:pPr>
        <w:pStyle w:val="Bibliography"/>
      </w:pPr>
      <w:r>
        <w:t xml:space="preserve">Dorfer S, Strasser K, Schröckenfuchs G, Bonelli M, Bauer W, Kittler H, et al.</w:t>
      </w:r>
      <w:r>
        <w:t xml:space="preserve"> </w:t>
      </w:r>
      <w:r>
        <w:t xml:space="preserve">MmuPV1</w:t>
      </w:r>
      <w:r>
        <w:t xml:space="preserve"> </w:t>
      </w:r>
      <w:r>
        <w:t xml:space="preserve">is a key driver of skin cancer development upon immunosuppression. American Journal of Transplantation. 2021;21(2):525–39</w:t>
      </w:r>
    </w:p>
    <w:bookmarkEnd w:id="94"/>
    <w:bookmarkStart w:id="96" w:name="ref-edgar2022"/>
    <w:p>
      <w:pPr>
        <w:pStyle w:val="Bibliography"/>
      </w:pPr>
      <w:r>
        <w:t xml:space="preserve">Edgar RC, Taylor B, Lin V, Altman T, Barbera P, Meleshko D, et al.</w:t>
      </w:r>
      <w:r>
        <w:t xml:space="preserve"> </w:t>
      </w:r>
      <w:hyperlink r:id="rId95">
        <w:r>
          <w:rPr>
            <w:rStyle w:val="Hyperlink"/>
          </w:rPr>
          <w:t xml:space="preserve">Petabase-scale sequence alignment catalyses viral discovery</w:t>
        </w:r>
      </w:hyperlink>
      <w:r>
        <w:t xml:space="preserve">. Nature. 2022;602:142–7</w:t>
      </w:r>
    </w:p>
    <w:bookmarkEnd w:id="96"/>
    <w:bookmarkStart w:id="98" w:name="ref-fujimoto2019"/>
    <w:p>
      <w:pPr>
        <w:pStyle w:val="Bibliography"/>
      </w:pPr>
      <w:r>
        <w:t xml:space="preserve">Fujimoto M, Matsuzaki I, Takahashi Y, Iwahashi Y, Warigaya K, Kojima F, et al.</w:t>
      </w:r>
      <w:r>
        <w:t xml:space="preserve"> </w:t>
      </w:r>
      <w:hyperlink r:id="rId97">
        <w:r>
          <w:rPr>
            <w:rStyle w:val="Hyperlink"/>
          </w:rPr>
          <w:t xml:space="preserve">High-risk human papillomavirus</w:t>
        </w:r>
        <w:r>
          <w:rPr>
            <w:rStyle w:val="Hyperlink"/>
          </w:rPr>
          <w:t xml:space="preserve"> </w:t>
        </w:r>
        <w:r>
          <w:rPr>
            <w:rStyle w:val="Hyperlink"/>
          </w:rPr>
          <w:t xml:space="preserve">E6/E7</w:t>
        </w:r>
        <w:r>
          <w:rPr>
            <w:rStyle w:val="Hyperlink"/>
          </w:rPr>
          <w:t xml:space="preserve"> </w:t>
        </w:r>
        <w:r>
          <w:rPr>
            <w:rStyle w:val="Hyperlink"/>
          </w:rPr>
          <w:t xml:space="preserve">mRNA</w:t>
        </w:r>
        <w:r>
          <w:rPr>
            <w:rStyle w:val="Hyperlink"/>
          </w:rPr>
          <w:t xml:space="preserve"> </w:t>
        </w:r>
        <w:r>
          <w:rPr>
            <w:rStyle w:val="Hyperlink"/>
          </w:rPr>
          <w:t xml:space="preserve">is rarely detected in nonanogenital cutaneous squamous cell carcinoma: An</w:t>
        </w:r>
        <w:r>
          <w:rPr>
            <w:rStyle w:val="Hyperlink"/>
          </w:rPr>
          <w:t xml:space="preserve"> </w:t>
        </w:r>
        <w:r>
          <w:rPr>
            <w:rStyle w:val="Hyperlink"/>
          </w:rPr>
          <w:t xml:space="preserve">RNA</w:t>
        </w:r>
        <w:r>
          <w:rPr>
            <w:rStyle w:val="Hyperlink"/>
          </w:rPr>
          <w:t xml:space="preserve"> </w:t>
        </w:r>
        <w:r>
          <w:rPr>
            <w:rStyle w:val="Hyperlink"/>
          </w:rPr>
          <w:t xml:space="preserve">in situ hybridization-based tissue microarray study</w:t>
        </w:r>
      </w:hyperlink>
      <w:r>
        <w:t xml:space="preserve">. The American Journal of Dermatopathology. 2019;41(3):205–10</w:t>
      </w:r>
    </w:p>
    <w:bookmarkEnd w:id="98"/>
    <w:bookmarkStart w:id="100" w:name="ref-gihawi2023"/>
    <w:p>
      <w:pPr>
        <w:pStyle w:val="Bibliography"/>
      </w:pPr>
      <w:r>
        <w:t xml:space="preserve">Gihawi A, Ge Y, Lu J, Puiu D, Xu A, Cooper CS, et al.</w:t>
      </w:r>
      <w:r>
        <w:t xml:space="preserve"> </w:t>
      </w:r>
      <w:hyperlink r:id="rId99">
        <w:r>
          <w:rPr>
            <w:rStyle w:val="Hyperlink"/>
          </w:rPr>
          <w:t xml:space="preserve">Major data analysis errors invalidate cancer microbiome findings</w:t>
        </w:r>
      </w:hyperlink>
      <w:r>
        <w:t xml:space="preserve">. mBio. 2023;14(5):e0160723</w:t>
      </w:r>
    </w:p>
    <w:bookmarkEnd w:id="100"/>
    <w:bookmarkStart w:id="102" w:name="ref-rstanarm"/>
    <w:p>
      <w:pPr>
        <w:pStyle w:val="Bibliography"/>
      </w:pPr>
      <w:r>
        <w:t xml:space="preserve">Goodrich B, Gabry J, Ali I, Brilleman S.</w:t>
      </w:r>
      <w:r>
        <w:t xml:space="preserve"> </w:t>
      </w:r>
      <w:r>
        <w:t xml:space="preserve">rstanarm</w:t>
      </w:r>
      <w:r>
        <w:t xml:space="preserve">:</w:t>
      </w:r>
      <w:r>
        <w:t xml:space="preserve"> </w:t>
      </w:r>
      <w:r>
        <w:t xml:space="preserve">Bayesian</w:t>
      </w:r>
      <w:r>
        <w:t xml:space="preserve"> </w:t>
      </w:r>
      <w:r>
        <w:t xml:space="preserve">applied regression modeling via</w:t>
      </w:r>
      <w:r>
        <w:t xml:space="preserve"> </w:t>
      </w:r>
      <w:r>
        <w:t xml:space="preserve">Stan</w:t>
      </w:r>
      <w:r>
        <w:t xml:space="preserve"> </w:t>
      </w:r>
      <w:r>
        <w:t xml:space="preserve">[Internet]. 2024. Available from:</w:t>
      </w:r>
      <w:r>
        <w:t xml:space="preserve"> </w:t>
      </w:r>
      <w:hyperlink r:id="rId101">
        <w:r>
          <w:rPr>
            <w:rStyle w:val="Hyperlink"/>
          </w:rPr>
          <w:t xml:space="preserve">https://mc-stan.org/rstanarm/</w:t>
        </w:r>
      </w:hyperlink>
    </w:p>
    <w:bookmarkEnd w:id="102"/>
    <w:bookmarkStart w:id="103" w:name="ref-howley2015"/>
    <w:p>
      <w:pPr>
        <w:pStyle w:val="Bibliography"/>
      </w:pPr>
      <w:r>
        <w:t xml:space="preserve">Howley PM, Pfister HJ. Beta genus papillomaviruses and skin cancer. Virology. 2015;479-480:290–6</w:t>
      </w:r>
    </w:p>
    <w:bookmarkEnd w:id="103"/>
    <w:bookmarkStart w:id="105" w:name="ref-hultin2019"/>
    <w:p>
      <w:pPr>
        <w:pStyle w:val="Bibliography"/>
      </w:pPr>
      <w:r>
        <w:t xml:space="preserve">Hultin E, Arroyo Mühr LS, Lagheden C, Dillner J.</w:t>
      </w:r>
      <w:r>
        <w:t xml:space="preserve"> </w:t>
      </w:r>
      <w:hyperlink r:id="rId104">
        <w:r>
          <w:rPr>
            <w:rStyle w:val="Hyperlink"/>
          </w:rPr>
          <w:t xml:space="preserve">HPV</w:t>
        </w:r>
        <w:r>
          <w:rPr>
            <w:rStyle w:val="Hyperlink"/>
          </w:rPr>
          <w:t xml:space="preserve"> </w:t>
        </w:r>
        <w:r>
          <w:rPr>
            <w:rStyle w:val="Hyperlink"/>
          </w:rPr>
          <w:t xml:space="preserve">transcription in skin tumors</w:t>
        </w:r>
      </w:hyperlink>
      <w:r>
        <w:t xml:space="preserve">. PLOS ONE. 2019;14(5):e0217942</w:t>
      </w:r>
    </w:p>
    <w:bookmarkEnd w:id="105"/>
    <w:bookmarkStart w:id="107" w:name="ref-kazemian2015"/>
    <w:p>
      <w:pPr>
        <w:pStyle w:val="Bibliography"/>
      </w:pPr>
      <w:r>
        <w:t xml:space="preserve">Kazemian M, Ren M, Lin J-X, Liao W, Spolski R, Leonard WJ.</w:t>
      </w:r>
      <w:r>
        <w:t xml:space="preserve"> </w:t>
      </w:r>
      <w:hyperlink r:id="rId106">
        <w:r>
          <w:rPr>
            <w:rStyle w:val="Hyperlink"/>
          </w:rPr>
          <w:t xml:space="preserve">Possible human papillomavirus 38 contamination of endometrial cancer</w:t>
        </w:r>
        <w:r>
          <w:rPr>
            <w:rStyle w:val="Hyperlink"/>
          </w:rPr>
          <w:t xml:space="preserve"> </w:t>
        </w:r>
        <w:r>
          <w:rPr>
            <w:rStyle w:val="Hyperlink"/>
          </w:rPr>
          <w:t xml:space="preserve">RNA-sequencing</w:t>
        </w:r>
        <w:r>
          <w:rPr>
            <w:rStyle w:val="Hyperlink"/>
          </w:rPr>
          <w:t xml:space="preserve"> </w:t>
        </w:r>
        <w:r>
          <w:rPr>
            <w:rStyle w:val="Hyperlink"/>
          </w:rPr>
          <w:t xml:space="preserve">samples in</w:t>
        </w:r>
        <w:r>
          <w:rPr>
            <w:rStyle w:val="Hyperlink"/>
          </w:rPr>
          <w:t xml:space="preserve"> </w:t>
        </w:r>
        <w:r>
          <w:rPr>
            <w:rStyle w:val="Hyperlink"/>
          </w:rPr>
          <w:t xml:space="preserve">TCGA</w:t>
        </w:r>
      </w:hyperlink>
      <w:r>
        <w:t xml:space="preserve">. Journal of Virology. 2015;89(17):8967–73</w:t>
      </w:r>
    </w:p>
    <w:bookmarkEnd w:id="107"/>
    <w:bookmarkStart w:id="109" w:name="ref-lambert2021"/>
    <w:p>
      <w:pPr>
        <w:pStyle w:val="Bibliography"/>
      </w:pPr>
      <w:r>
        <w:t xml:space="preserve">Lambert PF, Münger K, Rösl F, Hasche D, Tommasino M.</w:t>
      </w:r>
      <w:r>
        <w:t xml:space="preserve"> </w:t>
      </w:r>
      <w:hyperlink r:id="rId108">
        <w:r>
          <w:rPr>
            <w:rStyle w:val="Hyperlink"/>
          </w:rPr>
          <w:t xml:space="preserve">Beta human papillomaviruses and skin cancer</w:t>
        </w:r>
      </w:hyperlink>
      <w:r>
        <w:t xml:space="preserve">. Nature. 2021;588(7838):E20–1</w:t>
      </w:r>
    </w:p>
    <w:bookmarkEnd w:id="109"/>
    <w:bookmarkStart w:id="111" w:name="ref-leiendecker2023"/>
    <w:p>
      <w:pPr>
        <w:pStyle w:val="Bibliography"/>
      </w:pPr>
      <w:r>
        <w:t xml:space="preserve">Leiendecker L, Neumann T, Jung PS, Cronin SM, Steinacker TL, Schleiffer A, et al.</w:t>
      </w:r>
      <w:r>
        <w:t xml:space="preserve"> </w:t>
      </w:r>
      <w:hyperlink r:id="rId110">
        <w:r>
          <w:rPr>
            <w:rStyle w:val="Hyperlink"/>
          </w:rPr>
          <w:t xml:space="preserve">Human papillomavirus 42 drives digital papillary adenocarcinoma and elicits a germ cell-like program conserved in</w:t>
        </w:r>
        <w:r>
          <w:rPr>
            <w:rStyle w:val="Hyperlink"/>
          </w:rPr>
          <w:t xml:space="preserve"> </w:t>
        </w:r>
        <w:r>
          <w:rPr>
            <w:rStyle w:val="Hyperlink"/>
          </w:rPr>
          <w:t xml:space="preserve">HPV</w:t>
        </w:r>
        <w:r>
          <w:rPr>
            <w:rStyle w:val="Hyperlink"/>
          </w:rPr>
          <w:t xml:space="preserve">-positive cancers</w:t>
        </w:r>
      </w:hyperlink>
      <w:r>
        <w:t xml:space="preserve">. Cancer Discovery. 2023;13(1):70–84</w:t>
      </w:r>
    </w:p>
    <w:bookmarkEnd w:id="111"/>
    <w:bookmarkStart w:id="113" w:name="ref-leinonen2011"/>
    <w:p>
      <w:pPr>
        <w:pStyle w:val="Bibliography"/>
      </w:pPr>
      <w:r>
        <w:t xml:space="preserve">Leinonen R, Sugawara H, Shumway M.</w:t>
      </w:r>
      <w:r>
        <w:t xml:space="preserve"> </w:t>
      </w:r>
      <w:hyperlink r:id="rId112">
        <w:r>
          <w:rPr>
            <w:rStyle w:val="Hyperlink"/>
          </w:rPr>
          <w:t xml:space="preserve">The</w:t>
        </w:r>
        <w:r>
          <w:rPr>
            <w:rStyle w:val="Hyperlink"/>
          </w:rPr>
          <w:t xml:space="preserve"> </w:t>
        </w:r>
        <w:r>
          <w:rPr>
            <w:rStyle w:val="Hyperlink"/>
          </w:rPr>
          <w:t xml:space="preserve">Sequence Read Archive</w:t>
        </w:r>
      </w:hyperlink>
      <w:r>
        <w:t xml:space="preserve">. Nucleic Acids Research. 2011;39(Database issue):D19–21</w:t>
      </w:r>
    </w:p>
    <w:bookmarkEnd w:id="113"/>
    <w:bookmarkStart w:id="115" w:name="ref-liao2014"/>
    <w:p>
      <w:pPr>
        <w:pStyle w:val="Bibliography"/>
      </w:pPr>
      <w:r>
        <w:t xml:space="preserve">Liao Y, Smyth GK, Shi W.</w:t>
      </w:r>
      <w:r>
        <w:t xml:space="preserve"> </w:t>
      </w:r>
      <w:hyperlink r:id="rId114">
        <w:r>
          <w:rPr>
            <w:rStyle w:val="Hyperlink"/>
          </w:rPr>
          <w:t xml:space="preserve">featureCounts: An efficient general purpose program for assigning sequence reads to genomic features</w:t>
        </w:r>
      </w:hyperlink>
      <w:r>
        <w:t xml:space="preserve">. Bioinformatics. 2014;30(7):923–30</w:t>
      </w:r>
    </w:p>
    <w:bookmarkEnd w:id="115"/>
    <w:bookmarkStart w:id="117" w:name="ref-ma2014"/>
    <w:p>
      <w:pPr>
        <w:pStyle w:val="Bibliography"/>
      </w:pPr>
      <w:r>
        <w:t xml:space="preserve">Ma Y, Madupu R, Karaoz U, Nossa CW, Yang L, Yooseph S, et al.</w:t>
      </w:r>
      <w:r>
        <w:t xml:space="preserve"> </w:t>
      </w:r>
      <w:hyperlink r:id="rId116">
        <w:r>
          <w:rPr>
            <w:rStyle w:val="Hyperlink"/>
          </w:rPr>
          <w:t xml:space="preserve">Human papillomavirus community in healthy persons, defined by metagenomics analysis of human microbiome project shotgun sequencing data sets</w:t>
        </w:r>
      </w:hyperlink>
      <w:r>
        <w:t xml:space="preserve">. Journal of Virology. 2014;88(9):4786–97</w:t>
      </w:r>
    </w:p>
    <w:bookmarkEnd w:id="117"/>
    <w:bookmarkStart w:id="119" w:name="ref-morgan2024"/>
    <w:p>
      <w:pPr>
        <w:pStyle w:val="Bibliography"/>
      </w:pPr>
      <w:r>
        <w:t xml:space="preserve">Morgan HJ, Olivero C, Shorning BY, Gibbs A, Phillips AL, Ananthan L, et al.</w:t>
      </w:r>
      <w:r>
        <w:t xml:space="preserve"> </w:t>
      </w:r>
      <w:hyperlink r:id="rId118">
        <w:r>
          <w:rPr>
            <w:rStyle w:val="Hyperlink"/>
          </w:rPr>
          <w:t xml:space="preserve">HPV8</w:t>
        </w:r>
        <w:r>
          <w:rPr>
            <w:rStyle w:val="Hyperlink"/>
          </w:rPr>
          <w:t xml:space="preserve">-induced</w:t>
        </w:r>
        <w:r>
          <w:rPr>
            <w:rStyle w:val="Hyperlink"/>
          </w:rPr>
          <w:t xml:space="preserve"> </w:t>
        </w:r>
        <w:r>
          <w:rPr>
            <w:rStyle w:val="Hyperlink"/>
          </w:rPr>
          <w:t xml:space="preserve">STAT3</w:t>
        </w:r>
        <w:r>
          <w:rPr>
            <w:rStyle w:val="Hyperlink"/>
          </w:rPr>
          <w:t xml:space="preserve"> </w:t>
        </w:r>
        <w:r>
          <w:rPr>
            <w:rStyle w:val="Hyperlink"/>
          </w:rPr>
          <w:t xml:space="preserve">activation led keratinocyte stem cell expansion in human actinic keratoses</w:t>
        </w:r>
      </w:hyperlink>
      <w:r>
        <w:t xml:space="preserve">. JCI Insight. 2024;9(15):e177898</w:t>
      </w:r>
    </w:p>
    <w:bookmarkEnd w:id="119"/>
    <w:bookmarkStart w:id="121" w:name="ref-oh2026"/>
    <w:p>
      <w:pPr>
        <w:pStyle w:val="Bibliography"/>
      </w:pPr>
      <w:r>
        <w:t xml:space="preserve">Oh CC, Tan GS, Ng JWK, Lim TKH, Cheo FF, Tang PY, et al.</w:t>
      </w:r>
      <w:r>
        <w:t xml:space="preserve"> </w:t>
      </w:r>
      <w:hyperlink r:id="rId120">
        <w:r>
          <w:rPr>
            <w:rStyle w:val="Hyperlink"/>
          </w:rPr>
          <w:t xml:space="preserve">Human papillomavirus diversity in asian individuals with cutaneous squamous cell carcinoma</w:t>
        </w:r>
      </w:hyperlink>
      <w:r>
        <w:t xml:space="preserve">. JAMA Dermatology. 2026;162(5):509–14</w:t>
      </w:r>
    </w:p>
    <w:bookmarkEnd w:id="121"/>
    <w:bookmarkStart w:id="123" w:name="ref-purdie2005"/>
    <w:p>
      <w:pPr>
        <w:pStyle w:val="Bibliography"/>
      </w:pPr>
      <w:r>
        <w:t xml:space="preserve">Purdie KJ, Surentheran T, Sterling JC, Bell L, McGregor JM, Proby CM, et al.</w:t>
      </w:r>
      <w:r>
        <w:t xml:space="preserve"> </w:t>
      </w:r>
      <w:hyperlink r:id="rId122">
        <w:r>
          <w:rPr>
            <w:rStyle w:val="Hyperlink"/>
          </w:rPr>
          <w:t xml:space="preserve">Human papillomavirus gene expression in cutaneous squamous cell carcinomas from immunosuppressed and immunocompetent individuals</w:t>
        </w:r>
      </w:hyperlink>
      <w:r>
        <w:t xml:space="preserve">. Journal of Investigative Dermatology. 2005;125(1):98–107</w:t>
      </w:r>
    </w:p>
    <w:bookmarkEnd w:id="123"/>
    <w:bookmarkStart w:id="125" w:name="ref-rehm2022"/>
    <w:p>
      <w:pPr>
        <w:pStyle w:val="Bibliography"/>
      </w:pPr>
      <w:r>
        <w:t xml:space="preserve">Rehm TM, Straub E, Iftner T, Stubenrauch F.</w:t>
      </w:r>
      <w:r>
        <w:t xml:space="preserve"> </w:t>
      </w:r>
      <w:hyperlink r:id="rId124">
        <w:r>
          <w:rPr>
            <w:rStyle w:val="Hyperlink"/>
          </w:rPr>
          <w:t xml:space="preserve">Restriction of viral gene expression and replication prevents immortalization of human keratinocytes by a beta-human papillomavirus</w:t>
        </w:r>
      </w:hyperlink>
      <w:r>
        <w:t xml:space="preserve">. Proceedings of the National Academy of Sciences. 2022;119(11):e2118930119</w:t>
      </w:r>
    </w:p>
    <w:bookmarkEnd w:id="125"/>
    <w:bookmarkStart w:id="127" w:name="ref-rollison2021"/>
    <w:p>
      <w:pPr>
        <w:pStyle w:val="Bibliography"/>
      </w:pPr>
      <w:r>
        <w:t xml:space="preserve">Rollison DE, Amorrortu RP, Zhao Y, Messina JL, Schell MJ, Fenske NA, et al.</w:t>
      </w:r>
      <w:r>
        <w:t xml:space="preserve"> </w:t>
      </w:r>
      <w:hyperlink r:id="rId126">
        <w:r>
          <w:rPr>
            <w:rStyle w:val="Hyperlink"/>
          </w:rPr>
          <w:t xml:space="preserve">Cutaneous human papillomaviruses and the risk of keratinocyte carcinomas</w:t>
        </w:r>
      </w:hyperlink>
      <w:r>
        <w:t xml:space="preserve">. Cancer Research. 2021;81(17):4628–38</w:t>
      </w:r>
    </w:p>
    <w:bookmarkEnd w:id="127"/>
    <w:bookmarkStart w:id="129" w:name="ref-rollison2019sites"/>
    <w:p>
      <w:pPr>
        <w:pStyle w:val="Bibliography"/>
      </w:pPr>
      <w:r>
        <w:t xml:space="preserve">Rollison DE, Schell MJ, Fenske NA, Cherpelis B, Messina JL, Giuliano AR, et al.</w:t>
      </w:r>
      <w:r>
        <w:t xml:space="preserve"> </w:t>
      </w:r>
      <w:hyperlink r:id="rId128">
        <w:r>
          <w:rPr>
            <w:rStyle w:val="Hyperlink"/>
          </w:rPr>
          <w:t xml:space="preserve">Cutaneous viral infections across 2 anatomic sites among a cohort of patients undergoing skin cancer screening</w:t>
        </w:r>
      </w:hyperlink>
      <w:r>
        <w:t xml:space="preserve">. The Journal of Infectious Diseases. 2019 a;219(5):711–22</w:t>
      </w:r>
    </w:p>
    <w:bookmarkEnd w:id="129"/>
    <w:bookmarkStart w:id="131" w:name="ref-rollison2019"/>
    <w:p>
      <w:pPr>
        <w:pStyle w:val="Bibliography"/>
      </w:pPr>
      <w:r>
        <w:t xml:space="preserve">Rollison DE, Viarisio D, Amorrortu RP, Gheit T, Tommasino M.</w:t>
      </w:r>
      <w:r>
        <w:t xml:space="preserve"> </w:t>
      </w:r>
      <w:hyperlink r:id="rId130">
        <w:r>
          <w:rPr>
            <w:rStyle w:val="Hyperlink"/>
          </w:rPr>
          <w:t xml:space="preserve">An emerging issue in oncogenic virology: The role of beta human papillomavirus types in the development of cutaneous squamous cell carcinoma</w:t>
        </w:r>
      </w:hyperlink>
      <w:r>
        <w:t xml:space="preserve">. Journal of Virology. 2019 b;93(7):e01003–18</w:t>
      </w:r>
    </w:p>
    <w:bookmarkEnd w:id="131"/>
    <w:bookmarkStart w:id="133" w:name="ref-saeidian2023"/>
    <w:p>
      <w:pPr>
        <w:pStyle w:val="Bibliography"/>
      </w:pPr>
      <w:r>
        <w:t xml:space="preserve">Saeidian AH, Youssefian L, Naji M, Mahmoudi H, Barnada SM, Huang C, et al.</w:t>
      </w:r>
      <w:r>
        <w:t xml:space="preserve"> </w:t>
      </w:r>
      <w:hyperlink r:id="rId132">
        <w:r>
          <w:rPr>
            <w:rStyle w:val="Hyperlink"/>
          </w:rPr>
          <w:t xml:space="preserve">Whole transcriptome–based skin virome profiling in typical epidermodysplasia verruciformis reveals</w:t>
        </w:r>
        <w:r>
          <w:rPr>
            <w:rStyle w:val="Hyperlink"/>
          </w:rPr>
          <w:t xml:space="preserve"> </w:t>
        </w:r>
        <m:oMath>
          <m:r>
            <m:t>α</m:t>
          </m:r>
        </m:oMath>
        <w:r>
          <w:rPr>
            <w:rStyle w:val="Hyperlink"/>
          </w:rPr>
          <w:t xml:space="preserve">-,</w:t>
        </w:r>
        <w:r>
          <w:rPr>
            <w:rStyle w:val="Hyperlink"/>
          </w:rPr>
          <w:t xml:space="preserve"> </w:t>
        </w:r>
        <m:oMath>
          <m:r>
            <m:t>β</m:t>
          </m:r>
        </m:oMath>
        <w:r>
          <w:rPr>
            <w:rStyle w:val="Hyperlink"/>
          </w:rPr>
          <w:t xml:space="preserve">-, and</w:t>
        </w:r>
        <w:r>
          <w:rPr>
            <w:rStyle w:val="Hyperlink"/>
          </w:rPr>
          <w:t xml:space="preserve"> </w:t>
        </w:r>
        <m:oMath>
          <m:r>
            <m:t>γ</m:t>
          </m:r>
        </m:oMath>
        <w:r>
          <w:rPr>
            <w:rStyle w:val="Hyperlink"/>
          </w:rPr>
          <w:t xml:space="preserve">-</w:t>
        </w:r>
        <w:r>
          <w:rPr>
            <w:rStyle w:val="Hyperlink"/>
          </w:rPr>
          <w:t xml:space="preserve">HPV</w:t>
        </w:r>
        <w:r>
          <w:rPr>
            <w:rStyle w:val="Hyperlink"/>
          </w:rPr>
          <w:t xml:space="preserve"> </w:t>
        </w:r>
        <w:r>
          <w:rPr>
            <w:rStyle w:val="Hyperlink"/>
          </w:rPr>
          <w:t xml:space="preserve">infections</w:t>
        </w:r>
      </w:hyperlink>
      <w:r>
        <w:t xml:space="preserve">. JCI Insight. 2023;8(5):e162558</w:t>
      </w:r>
    </w:p>
    <w:bookmarkEnd w:id="133"/>
    <w:bookmarkStart w:id="135" w:name="ref-selitsky2020"/>
    <w:p>
      <w:pPr>
        <w:pStyle w:val="Bibliography"/>
      </w:pPr>
      <w:r>
        <w:t xml:space="preserve">Selitsky SR, Marron D, Hollern D, Mose LE, Hoadley KA, Jones C, et al.</w:t>
      </w:r>
      <w:r>
        <w:t xml:space="preserve"> </w:t>
      </w:r>
      <w:hyperlink r:id="rId134">
        <w:r>
          <w:rPr>
            <w:rStyle w:val="Hyperlink"/>
          </w:rPr>
          <w:t xml:space="preserve">Virus expression detection reveals</w:t>
        </w:r>
        <w:r>
          <w:rPr>
            <w:rStyle w:val="Hyperlink"/>
          </w:rPr>
          <w:t xml:space="preserve"> </w:t>
        </w:r>
        <w:r>
          <w:rPr>
            <w:rStyle w:val="Hyperlink"/>
          </w:rPr>
          <w:t xml:space="preserve">RNA</w:t>
        </w:r>
        <w:r>
          <w:rPr>
            <w:rStyle w:val="Hyperlink"/>
          </w:rPr>
          <w:t xml:space="preserve">-sequencing contamination in</w:t>
        </w:r>
        <w:r>
          <w:rPr>
            <w:rStyle w:val="Hyperlink"/>
          </w:rPr>
          <w:t xml:space="preserve"> </w:t>
        </w:r>
        <w:r>
          <w:rPr>
            <w:rStyle w:val="Hyperlink"/>
          </w:rPr>
          <w:t xml:space="preserve">TCGA</w:t>
        </w:r>
      </w:hyperlink>
      <w:r>
        <w:t xml:space="preserve">. BMC Genomics. 2020;21(1):79</w:t>
      </w:r>
    </w:p>
    <w:bookmarkEnd w:id="135"/>
    <w:bookmarkStart w:id="137" w:name="ref-shenpv2026"/>
    <w:p>
      <w:pPr>
        <w:pStyle w:val="Bibliography"/>
      </w:pPr>
      <w:r>
        <w:t xml:space="preserve">Shen JYQ, Chikhi R, Korobeynikov A, Babaian A.</w:t>
      </w:r>
      <w:r>
        <w:t xml:space="preserve"> </w:t>
      </w:r>
      <w:hyperlink r:id="rId136">
        <w:r>
          <w:rPr>
            <w:rStyle w:val="Hyperlink"/>
          </w:rPr>
          <w:t xml:space="preserve">Petabase-scale papillomavirus discovery</w:t>
        </w:r>
      </w:hyperlink>
      <w:r>
        <w:t xml:space="preserve">. bioRxiv. 2026;</w:t>
      </w:r>
    </w:p>
    <w:bookmarkEnd w:id="137"/>
    <w:bookmarkStart w:id="139" w:name="ref-shen2016"/>
    <w:p>
      <w:pPr>
        <w:pStyle w:val="Bibliography"/>
      </w:pPr>
      <w:r>
        <w:t xml:space="preserve">Shen W, Le S, Li Y, Hu F.</w:t>
      </w:r>
      <w:r>
        <w:t xml:space="preserve"> </w:t>
      </w:r>
      <w:hyperlink r:id="rId138">
        <w:r>
          <w:rPr>
            <w:rStyle w:val="Hyperlink"/>
          </w:rPr>
          <w:t xml:space="preserve">SeqKit</w:t>
        </w:r>
        <w:r>
          <w:rPr>
            <w:rStyle w:val="Hyperlink"/>
          </w:rPr>
          <w:t xml:space="preserve">: A cross-platform and ultrafast toolkit for</w:t>
        </w:r>
        <w:r>
          <w:rPr>
            <w:rStyle w:val="Hyperlink"/>
          </w:rPr>
          <w:t xml:space="preserve"> </w:t>
        </w:r>
        <w:r>
          <w:rPr>
            <w:rStyle w:val="Hyperlink"/>
          </w:rPr>
          <w:t xml:space="preserve">FASTA/Q</w:t>
        </w:r>
        <w:r>
          <w:rPr>
            <w:rStyle w:val="Hyperlink"/>
          </w:rPr>
          <w:t xml:space="preserve"> </w:t>
        </w:r>
        <w:r>
          <w:rPr>
            <w:rStyle w:val="Hyperlink"/>
          </w:rPr>
          <w:t xml:space="preserve">file manipulation</w:t>
        </w:r>
      </w:hyperlink>
      <w:r>
        <w:t xml:space="preserve">. PLoS ONE. 2016;11(10):e0163962</w:t>
      </w:r>
    </w:p>
    <w:bookmarkEnd w:id="139"/>
    <w:bookmarkStart w:id="141" w:name="ref-son2025"/>
    <w:p>
      <w:pPr>
        <w:pStyle w:val="Bibliography"/>
      </w:pPr>
      <w:r>
        <w:t xml:space="preserve">Son HG, Ha DT, Xia Y, Li T, Blandin J, Oka T, et al.</w:t>
      </w:r>
      <w:r>
        <w:t xml:space="preserve"> </w:t>
      </w:r>
      <w:hyperlink r:id="rId140">
        <w:r>
          <w:rPr>
            <w:rStyle w:val="Hyperlink"/>
          </w:rPr>
          <w:t xml:space="preserve">Commensal papillomavirus immunity preserves the homeostasis of highly mutated normal skin</w:t>
        </w:r>
      </w:hyperlink>
      <w:r>
        <w:t xml:space="preserve">. Cancer Cell. 2025;43(1):36–48.e10</w:t>
      </w:r>
    </w:p>
    <w:bookmarkEnd w:id="141"/>
    <w:bookmarkStart w:id="143" w:name="ref-strickley2019"/>
    <w:p>
      <w:pPr>
        <w:pStyle w:val="Bibliography"/>
      </w:pPr>
      <w:r>
        <w:t xml:space="preserve">Strickley JD, Messerschmidt JL, Awad ME, Li T, Hasegawa T, Ha DT, et al.</w:t>
      </w:r>
      <w:r>
        <w:t xml:space="preserve"> </w:t>
      </w:r>
      <w:hyperlink r:id="rId142">
        <w:r>
          <w:rPr>
            <w:rStyle w:val="Hyperlink"/>
          </w:rPr>
          <w:t xml:space="preserve">Immunity to commensal papillomaviruses protects against skin cancer</w:t>
        </w:r>
      </w:hyperlink>
      <w:r>
        <w:t xml:space="preserve">. Nature. 2019;575(7783):519–22</w:t>
      </w:r>
    </w:p>
    <w:bookmarkEnd w:id="143"/>
    <w:bookmarkStart w:id="145" w:name="ref-strickley2021"/>
    <w:p>
      <w:pPr>
        <w:pStyle w:val="Bibliography"/>
      </w:pPr>
      <w:r>
        <w:t xml:space="preserve">Strickley JD, Messerschmidt JL, Jenson AB, Joh J, Demehri S.</w:t>
      </w:r>
      <w:r>
        <w:t xml:space="preserve"> </w:t>
      </w:r>
      <w:hyperlink r:id="rId144">
        <w:r>
          <w:rPr>
            <w:rStyle w:val="Hyperlink"/>
          </w:rPr>
          <w:t xml:space="preserve">Reply to: Beta human papillomaviruses and skin cancer</w:t>
        </w:r>
      </w:hyperlink>
      <w:r>
        <w:t xml:space="preserve">. Nature. 2021;588(7838):E22–3</w:t>
      </w:r>
    </w:p>
    <w:bookmarkEnd w:id="145"/>
    <w:bookmarkStart w:id="147" w:name="ref-vandoorslaer2017"/>
    <w:p>
      <w:pPr>
        <w:pStyle w:val="Bibliography"/>
      </w:pPr>
      <w:r>
        <w:t xml:space="preserve">Van Doorslaer K, Li Z, Xirasagar S, Maes P, Kaminsky D, Liou D, et al.</w:t>
      </w:r>
      <w:r>
        <w:t xml:space="preserve"> </w:t>
      </w:r>
      <w:hyperlink r:id="rId146">
        <w:r>
          <w:rPr>
            <w:rStyle w:val="Hyperlink"/>
          </w:rPr>
          <w:t xml:space="preserve">The</w:t>
        </w:r>
        <w:r>
          <w:rPr>
            <w:rStyle w:val="Hyperlink"/>
          </w:rPr>
          <w:t xml:space="preserve"> </w:t>
        </w:r>
        <w:r>
          <w:rPr>
            <w:rStyle w:val="Hyperlink"/>
          </w:rPr>
          <w:t xml:space="preserve">Papillomavirus Episteme</w:t>
        </w:r>
        <w:r>
          <w:rPr>
            <w:rStyle w:val="Hyperlink"/>
          </w:rPr>
          <w:t xml:space="preserve">: A major update to the papillomavirus sequence database</w:t>
        </w:r>
      </w:hyperlink>
      <w:r>
        <w:t xml:space="preserve">. Nucleic Acids Research. 2017;45(D1):D499–506</w:t>
      </w:r>
    </w:p>
    <w:bookmarkEnd w:id="147"/>
    <w:bookmarkStart w:id="149" w:name="ref-vandiver2021"/>
    <w:p>
      <w:pPr>
        <w:pStyle w:val="Bibliography"/>
      </w:pPr>
      <w:r>
        <w:t xml:space="preserve">Vandiver AR, Thomas BJ, Karimzada M, Knowles BC, Botten GA, Spreafico R, et al.</w:t>
      </w:r>
      <w:r>
        <w:t xml:space="preserve"> </w:t>
      </w:r>
      <w:hyperlink r:id="rId148">
        <w:r>
          <w:rPr>
            <w:rStyle w:val="Hyperlink"/>
          </w:rPr>
          <w:t xml:space="preserve">Detection of viral gene expression in risk-stratified biopsies reveals no active</w:t>
        </w:r>
        <w:r>
          <w:rPr>
            <w:rStyle w:val="Hyperlink"/>
          </w:rPr>
          <w:t xml:space="preserve"> </w:t>
        </w:r>
        <w:r>
          <w:rPr>
            <w:rStyle w:val="Hyperlink"/>
          </w:rPr>
          <w:t xml:space="preserve">HPV</w:t>
        </w:r>
        <w:r>
          <w:rPr>
            <w:rStyle w:val="Hyperlink"/>
          </w:rPr>
          <w:t xml:space="preserve"> </w:t>
        </w:r>
        <w:r>
          <w:rPr>
            <w:rStyle w:val="Hyperlink"/>
          </w:rPr>
          <w:t xml:space="preserve">in cutaneous squamous cell carcinoma</w:t>
        </w:r>
      </w:hyperlink>
      <w:r>
        <w:t xml:space="preserve">. Experimental Dermatology. 2021;30(11):1711–6</w:t>
      </w:r>
    </w:p>
    <w:bookmarkEnd w:id="149"/>
    <w:bookmarkStart w:id="151" w:name="ref-viarisio2018"/>
    <w:p>
      <w:pPr>
        <w:pStyle w:val="Bibliography"/>
      </w:pPr>
      <w:r>
        <w:t xml:space="preserve">Viarisio D, Müller-Decker K, Accardi R, Robitaille A, Dürst M, Beer K, et al.</w:t>
      </w:r>
      <w:r>
        <w:t xml:space="preserve"> </w:t>
      </w:r>
      <w:hyperlink r:id="rId150">
        <w:r>
          <w:rPr>
            <w:rStyle w:val="Hyperlink"/>
          </w:rPr>
          <w:t xml:space="preserve">Beta</w:t>
        </w:r>
        <w:r>
          <w:rPr>
            <w:rStyle w:val="Hyperlink"/>
          </w:rPr>
          <w:t xml:space="preserve"> </w:t>
        </w:r>
        <w:r>
          <w:rPr>
            <w:rStyle w:val="Hyperlink"/>
          </w:rPr>
          <w:t xml:space="preserve">HPV38</w:t>
        </w:r>
        <w:r>
          <w:rPr>
            <w:rStyle w:val="Hyperlink"/>
          </w:rPr>
          <w:t xml:space="preserve"> </w:t>
        </w:r>
        <w:r>
          <w:rPr>
            <w:rStyle w:val="Hyperlink"/>
          </w:rPr>
          <w:t xml:space="preserve">oncoproteins act with a hit-and-run mechanism in ultraviolet radiation-induced skin carcinogenesis in mice</w:t>
        </w:r>
      </w:hyperlink>
      <w:r>
        <w:t xml:space="preserve">. PLoS Pathogens. 2018;14(1):e1006783</w:t>
      </w:r>
    </w:p>
    <w:bookmarkEnd w:id="151"/>
    <w:bookmarkStart w:id="153" w:name="ref-weissenborn2012"/>
    <w:p>
      <w:pPr>
        <w:pStyle w:val="Bibliography"/>
      </w:pPr>
      <w:r>
        <w:t xml:space="preserve">Weissenborn S, Neale RE, Waterboer T, Abeni D, Bouwes Bavinck JN, Green AC, et al.</w:t>
      </w:r>
      <w:r>
        <w:t xml:space="preserve"> </w:t>
      </w:r>
      <w:hyperlink r:id="rId152">
        <w:r>
          <w:rPr>
            <w:rStyle w:val="Hyperlink"/>
          </w:rPr>
          <w:t xml:space="preserve">Beta-papillomavirus</w:t>
        </w:r>
        <w:r>
          <w:rPr>
            <w:rStyle w:val="Hyperlink"/>
          </w:rPr>
          <w:t xml:space="preserve"> </w:t>
        </w:r>
        <w:r>
          <w:rPr>
            <w:rStyle w:val="Hyperlink"/>
          </w:rPr>
          <w:t xml:space="preserve">DNA</w:t>
        </w:r>
        <w:r>
          <w:rPr>
            <w:rStyle w:val="Hyperlink"/>
          </w:rPr>
          <w:t xml:space="preserve"> </w:t>
        </w:r>
        <w:r>
          <w:rPr>
            <w:rStyle w:val="Hyperlink"/>
          </w:rPr>
          <w:t xml:space="preserve">loads in hair follicles of immunocompetent people and organ transplant recipients</w:t>
        </w:r>
      </w:hyperlink>
      <w:r>
        <w:t xml:space="preserve">. Medical Microbiology and Immunology. 2012;201(2):117–25</w:t>
      </w:r>
    </w:p>
    <w:bookmarkEnd w:id="153"/>
    <w:bookmarkStart w:id="155" w:name="ref-wenande2025"/>
    <w:p>
      <w:pPr>
        <w:pStyle w:val="Bibliography"/>
      </w:pPr>
      <w:r>
        <w:t xml:space="preserve">Wenande E, Hastrup A, Wiegell S, Philipsen PA, Thomsen NB, Demehri S, et al.</w:t>
      </w:r>
      <w:r>
        <w:t xml:space="preserve"> </w:t>
      </w:r>
      <w:hyperlink r:id="rId154">
        <w:r>
          <w:rPr>
            <w:rStyle w:val="Hyperlink"/>
          </w:rPr>
          <w:t xml:space="preserve">Human papillomavirus vaccination and actinic keratosis burden: The</w:t>
        </w:r>
        <w:r>
          <w:rPr>
            <w:rStyle w:val="Hyperlink"/>
          </w:rPr>
          <w:t xml:space="preserve"> </w:t>
        </w:r>
        <w:r>
          <w:rPr>
            <w:rStyle w:val="Hyperlink"/>
          </w:rPr>
          <w:t xml:space="preserve">VAXAK</w:t>
        </w:r>
        <w:r>
          <w:rPr>
            <w:rStyle w:val="Hyperlink"/>
          </w:rPr>
          <w:t xml:space="preserve"> </w:t>
        </w:r>
        <w:r>
          <w:rPr>
            <w:rStyle w:val="Hyperlink"/>
          </w:rPr>
          <w:t xml:space="preserve">randomized clinical trial</w:t>
        </w:r>
      </w:hyperlink>
      <w:r>
        <w:t xml:space="preserve">. JAMA Dermatology. 2025;161(6):605–14</w:t>
      </w:r>
    </w:p>
    <w:bookmarkEnd w:id="155"/>
    <w:bookmarkStart w:id="157" w:name="ref-wood2019"/>
    <w:p>
      <w:pPr>
        <w:pStyle w:val="Bibliography"/>
      </w:pPr>
      <w:r>
        <w:t xml:space="preserve">Wood DE, Lu J, Langmead B.</w:t>
      </w:r>
      <w:r>
        <w:t xml:space="preserve"> </w:t>
      </w:r>
      <w:hyperlink r:id="rId156">
        <w:r>
          <w:rPr>
            <w:rStyle w:val="Hyperlink"/>
          </w:rPr>
          <w:t xml:space="preserve">Improved metagenomic analysis with</w:t>
        </w:r>
        <w:r>
          <w:rPr>
            <w:rStyle w:val="Hyperlink"/>
          </w:rPr>
          <w:t xml:space="preserve"> </w:t>
        </w:r>
        <w:r>
          <w:rPr>
            <w:rStyle w:val="Hyperlink"/>
          </w:rPr>
          <w:t xml:space="preserve">Kraken 2</w:t>
        </w:r>
      </w:hyperlink>
      <w:r>
        <w:t xml:space="preserve">. Genome Biology. 2019;20:257</w:t>
      </w:r>
    </w:p>
    <w:bookmarkEnd w:id="157"/>
    <w:bookmarkStart w:id="159" w:name="ref-you2004"/>
    <w:p>
      <w:pPr>
        <w:pStyle w:val="Bibliography"/>
      </w:pPr>
      <w:r>
        <w:t xml:space="preserve">You J, Croyle JL, Nishimura A, Ozato K, Howley PM.</w:t>
      </w:r>
      <w:r>
        <w:t xml:space="preserve"> </w:t>
      </w:r>
      <w:hyperlink r:id="rId158">
        <w:r>
          <w:rPr>
            <w:rStyle w:val="Hyperlink"/>
          </w:rPr>
          <w:t xml:space="preserve">Interaction of the bovine papillomavirus</w:t>
        </w:r>
        <w:r>
          <w:rPr>
            <w:rStyle w:val="Hyperlink"/>
          </w:rPr>
          <w:t xml:space="preserve"> </w:t>
        </w:r>
        <w:r>
          <w:rPr>
            <w:rStyle w:val="Hyperlink"/>
          </w:rPr>
          <w:t xml:space="preserve">E2</w:t>
        </w:r>
        <w:r>
          <w:rPr>
            <w:rStyle w:val="Hyperlink"/>
          </w:rPr>
          <w:t xml:space="preserve"> </w:t>
        </w:r>
        <w:r>
          <w:rPr>
            <w:rStyle w:val="Hyperlink"/>
          </w:rPr>
          <w:t xml:space="preserve">protein with</w:t>
        </w:r>
        <w:r>
          <w:rPr>
            <w:rStyle w:val="Hyperlink"/>
          </w:rPr>
          <w:t xml:space="preserve"> </w:t>
        </w:r>
        <w:r>
          <w:rPr>
            <w:rStyle w:val="Hyperlink"/>
          </w:rPr>
          <w:t xml:space="preserve">Brd4</w:t>
        </w:r>
        <w:r>
          <w:rPr>
            <w:rStyle w:val="Hyperlink"/>
          </w:rPr>
          <w:t xml:space="preserve"> </w:t>
        </w:r>
        <w:r>
          <w:rPr>
            <w:rStyle w:val="Hyperlink"/>
          </w:rPr>
          <w:t xml:space="preserve">tethers the viral</w:t>
        </w:r>
        <w:r>
          <w:rPr>
            <w:rStyle w:val="Hyperlink"/>
          </w:rPr>
          <w:t xml:space="preserve"> </w:t>
        </w:r>
        <w:r>
          <w:rPr>
            <w:rStyle w:val="Hyperlink"/>
          </w:rPr>
          <w:t xml:space="preserve">DNA</w:t>
        </w:r>
        <w:r>
          <w:rPr>
            <w:rStyle w:val="Hyperlink"/>
          </w:rPr>
          <w:t xml:space="preserve"> </w:t>
        </w:r>
        <w:r>
          <w:rPr>
            <w:rStyle w:val="Hyperlink"/>
          </w:rPr>
          <w:t xml:space="preserve">to host mitotic chromosomes</w:t>
        </w:r>
      </w:hyperlink>
      <w:r>
        <w:t xml:space="preserve">. Cell. 2004;117(3):349–60</w:t>
      </w:r>
    </w:p>
    <w:bookmarkEnd w:id="159"/>
    <w:bookmarkEnd w:id="160"/>
    <w:bookmarkEnd w:id="161"/>
    <w:bookmarkStart w:id="207" w:name="supplementary-material"/>
    <w:p>
      <w:pPr>
        <w:pStyle w:val="Heading1"/>
      </w:pPr>
      <w:r>
        <w:t xml:space="preserve">Supplementary Material</w:t>
      </w:r>
    </w:p>
    <w:bookmarkStart w:id="162" w:name="supplementary-materials-and-methods"/>
    <w:p>
      <w:pPr>
        <w:pStyle w:val="Heading2"/>
      </w:pPr>
      <w:r>
        <w:t xml:space="preserve">Supplementary Materials and Methods</w:t>
      </w:r>
    </w:p>
    <w:bookmarkEnd w:id="162"/>
    <w:bookmarkStart w:id="176" w:name="methods"/>
    <w:p>
      <w:pPr>
        <w:pStyle w:val="Heading2"/>
      </w:pPr>
      <w:r>
        <w:t xml:space="preserve">Methods</w:t>
      </w:r>
    </w:p>
    <w:bookmarkStart w:id="163"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63"/>
    <w:bookmarkStart w:id="164"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et al.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64"/>
    <w:bookmarkStart w:id="165"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65"/>
    <w:bookmarkStart w:id="166"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et al.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66"/>
    <w:bookmarkStart w:id="167"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67"/>
    <w:bookmarkStart w:id="168"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68"/>
    <w:bookmarkStart w:id="169"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et al.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69"/>
    <w:bookmarkStart w:id="170"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et al.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70"/>
    <w:bookmarkStart w:id="171"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71"/>
    <w:bookmarkStart w:id="172"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72"/>
    <w:bookmarkStart w:id="173"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73"/>
    <w:bookmarkStart w:id="174"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74"/>
    <w:bookmarkStart w:id="175"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75"/>
    <w:bookmarkEnd w:id="176"/>
    <w:bookmarkStart w:id="204"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80" w:name="suppfig-depth"/>
          <w:p>
            <w:pPr>
              <w:pStyle w:val="Compact"/>
              <w:jc w:val="center"/>
            </w:pPr>
            <w:r>
              <w:drawing>
                <wp:inline>
                  <wp:extent cx="5943600" cy="3714749"/>
                  <wp:effectExtent b="0" l="0" r="0" t="0"/>
                  <wp:docPr descr="" title="" id="178" name="Picture"/>
                  <a:graphic>
                    <a:graphicData uri="http://schemas.openxmlformats.org/drawingml/2006/picture">
                      <pic:pic>
                        <pic:nvPicPr>
                          <pic:cNvPr descr="figureS1.png" id="179" name="Picture"/>
                          <pic:cNvPicPr>
                            <a:picLocks noChangeArrowheads="1" noChangeAspect="1"/>
                          </pic:cNvPicPr>
                        </pic:nvPicPr>
                        <pic:blipFill>
                          <a:blip r:embed="rId177"/>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4" w:name="suppfig-trace"/>
          <w:p>
            <w:pPr>
              <w:pStyle w:val="Compact"/>
              <w:jc w:val="center"/>
            </w:pPr>
            <w:r>
              <w:drawing>
                <wp:inline>
                  <wp:extent cx="5943600" cy="3302000"/>
                  <wp:effectExtent b="0" l="0" r="0" t="0"/>
                  <wp:docPr descr="" title="" id="182" name="Picture"/>
                  <a:graphic>
                    <a:graphicData uri="http://schemas.openxmlformats.org/drawingml/2006/picture">
                      <pic:pic>
                        <pic:nvPicPr>
                          <pic:cNvPr descr="figureS2.png" id="183" name="Picture"/>
                          <pic:cNvPicPr>
                            <a:picLocks noChangeArrowheads="1" noChangeAspect="1"/>
                          </pic:cNvPicPr>
                        </pic:nvPicPr>
                        <pic:blipFill>
                          <a:blip r:embed="rId18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1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8" w:name="suppfig-types"/>
          <w:p>
            <w:pPr>
              <w:pStyle w:val="Compact"/>
              <w:jc w:val="center"/>
            </w:pPr>
            <w:r>
              <w:drawing>
                <wp:inline>
                  <wp:extent cx="5943600" cy="2993813"/>
                  <wp:effectExtent b="0" l="0" r="0" t="0"/>
                  <wp:docPr descr="" title="" id="186" name="Picture"/>
                  <a:graphic>
                    <a:graphicData uri="http://schemas.openxmlformats.org/drawingml/2006/picture">
                      <pic:pic>
                        <pic:nvPicPr>
                          <pic:cNvPr descr="figureS3.png" id="187" name="Picture"/>
                          <pic:cNvPicPr>
                            <a:picLocks noChangeArrowheads="1" noChangeAspect="1"/>
                          </pic:cNvPicPr>
                        </pic:nvPicPr>
                        <pic:blipFill>
                          <a:blip r:embed="rId185"/>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suppfig-reservoir-gut"/>
          <w:p>
            <w:pPr>
              <w:pStyle w:val="Compact"/>
              <w:jc w:val="center"/>
            </w:pPr>
            <w:r>
              <w:drawing>
                <wp:inline>
                  <wp:extent cx="5943600" cy="4302034"/>
                  <wp:effectExtent b="0" l="0" r="0" t="0"/>
                  <wp:docPr descr="" title="" id="190" name="Picture"/>
                  <a:graphic>
                    <a:graphicData uri="http://schemas.openxmlformats.org/drawingml/2006/picture">
                      <pic:pic>
                        <pic:nvPicPr>
                          <pic:cNvPr descr="figureS4.png" id="191" name="Picture"/>
                          <pic:cNvPicPr>
                            <a:picLocks noChangeArrowheads="1" noChangeAspect="1"/>
                          </pic:cNvPicPr>
                        </pic:nvPicPr>
                        <pic:blipFill>
                          <a:blip r:embed="rId189"/>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6" w:name="suppfig-bayes"/>
          <w:p>
            <w:pPr>
              <w:pStyle w:val="Compact"/>
              <w:jc w:val="center"/>
            </w:pPr>
            <w:r>
              <w:drawing>
                <wp:inline>
                  <wp:extent cx="5943600" cy="2905759"/>
                  <wp:effectExtent b="0" l="0" r="0" t="0"/>
                  <wp:docPr descr="" title="" id="194" name="Picture"/>
                  <a:graphic>
                    <a:graphicData uri="http://schemas.openxmlformats.org/drawingml/2006/picture">
                      <pic:pic>
                        <pic:nvPicPr>
                          <pic:cNvPr descr="figureS5.png" id="195" name="Picture"/>
                          <pic:cNvPicPr>
                            <a:picLocks noChangeArrowheads="1" noChangeAspect="1"/>
                          </pic:cNvPicPr>
                        </pic:nvPicPr>
                        <pic:blipFill>
                          <a:blip r:embed="rId193"/>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03"/>
        </w:tc>
      </w:tr>
    </w:tbl>
    <w:bookmarkEnd w:id="204"/>
    <w:bookmarkStart w:id="206"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5"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05"/>
        </w:tc>
      </w:tr>
    </w:tbl>
    <w:bookmarkEnd w:id="206"/>
    <w:bookmarkEnd w:id="207"/>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154" Target="https://doi.org/10.1001/jamadermatol.2025.0531" TargetMode="External" /><Relationship Type="http://schemas.openxmlformats.org/officeDocument/2006/relationships/hyperlink" Id="rId120" Target="https://doi.org/10.1001/jamadermatol.2026.0308" TargetMode="External" /><Relationship Type="http://schemas.openxmlformats.org/officeDocument/2006/relationships/hyperlink" Id="rId68" Target="https://doi.org/10.1002/ijc.33683" TargetMode="External" /><Relationship Type="http://schemas.openxmlformats.org/officeDocument/2006/relationships/hyperlink" Id="rId152" Target="https://doi.org/10.1007/s00430-011-0212-3" TargetMode="External" /><Relationship Type="http://schemas.openxmlformats.org/officeDocument/2006/relationships/hyperlink" Id="rId158" Target="https://doi.org/10.1016/S0092-8674(04)00402-7" TargetMode="External" /><Relationship Type="http://schemas.openxmlformats.org/officeDocument/2006/relationships/hyperlink" Id="rId140" Target="https://doi.org/10.1016/j.ccell.2024.11.013" TargetMode="External" /><Relationship Type="http://schemas.openxmlformats.org/officeDocument/2006/relationships/hyperlink" Id="rId70" Target="https://doi.org/10.1016/j.cmi.2019.04.028" TargetMode="External" /><Relationship Type="http://schemas.openxmlformats.org/officeDocument/2006/relationships/hyperlink" Id="rId78" Target="https://doi.org/10.1016/j.coviro.2019.07.010" TargetMode="External" /><Relationship Type="http://schemas.openxmlformats.org/officeDocument/2006/relationships/hyperlink" Id="rId86" Target="https://doi.org/10.1016/j.virol.2019.08.007" TargetMode="External" /><Relationship Type="http://schemas.openxmlformats.org/officeDocument/2006/relationships/hyperlink" Id="rId66" Target="https://doi.org/10.1038/jid.2011.91" TargetMode="External" /><Relationship Type="http://schemas.openxmlformats.org/officeDocument/2006/relationships/hyperlink" Id="rId62" Target="https://doi.org/10.1038/nature12064" TargetMode="External" /><Relationship Type="http://schemas.openxmlformats.org/officeDocument/2006/relationships/hyperlink" Id="rId88" Target="https://doi.org/10.1038/nbt.3820" TargetMode="External" /><Relationship Type="http://schemas.openxmlformats.org/officeDocument/2006/relationships/hyperlink" Id="rId142" Target="https://doi.org/10.1038/s41586-019-1719-9" TargetMode="External" /><Relationship Type="http://schemas.openxmlformats.org/officeDocument/2006/relationships/hyperlink" Id="rId108" Target="https://doi.org/10.1038/s41586-020-3023-0" TargetMode="External" /><Relationship Type="http://schemas.openxmlformats.org/officeDocument/2006/relationships/hyperlink" Id="rId144" Target="https://doi.org/10.1038/s41586-020-3024-z" TargetMode="External" /><Relationship Type="http://schemas.openxmlformats.org/officeDocument/2006/relationships/hyperlink" Id="rId95" Target="https://doi.org/10.1038/s41586-021-04332-2" TargetMode="External" /><Relationship Type="http://schemas.openxmlformats.org/officeDocument/2006/relationships/hyperlink" Id="rId74" Target="https://doi.org/10.1038/srep05807" TargetMode="External" /><Relationship Type="http://schemas.openxmlformats.org/officeDocument/2006/relationships/hyperlink" Id="rId124" Target="https://doi.org/10.1073/pnas.2118930119" TargetMode="External" /><Relationship Type="http://schemas.openxmlformats.org/officeDocument/2006/relationships/hyperlink" Id="rId90" Target="https://doi.org/10.1093/bioinformatics/bts635" TargetMode="External" /><Relationship Type="http://schemas.openxmlformats.org/officeDocument/2006/relationships/hyperlink" Id="rId114" Target="https://doi.org/10.1093/bioinformatics/btt656" TargetMode="External" /><Relationship Type="http://schemas.openxmlformats.org/officeDocument/2006/relationships/hyperlink" Id="rId80" Target="https://doi.org/10.1093/bioinformatics/bty560" TargetMode="External" /><Relationship Type="http://schemas.openxmlformats.org/officeDocument/2006/relationships/hyperlink" Id="rId84" Target="https://doi.org/10.1093/gigascience/giab008" TargetMode="External" /><Relationship Type="http://schemas.openxmlformats.org/officeDocument/2006/relationships/hyperlink" Id="rId128" Target="https://doi.org/10.1093/infdis/jiy577" TargetMode="External" /><Relationship Type="http://schemas.openxmlformats.org/officeDocument/2006/relationships/hyperlink" Id="rId112" Target="https://doi.org/10.1093/nar/gkq1019" TargetMode="External" /><Relationship Type="http://schemas.openxmlformats.org/officeDocument/2006/relationships/hyperlink" Id="rId146" Target="https://doi.org/10.1093/nar/gkw879" TargetMode="External" /><Relationship Type="http://schemas.openxmlformats.org/officeDocument/2006/relationships/hyperlink" Id="rId97" Target="https://doi.org/10.1097/DAD.0000000000001289" TargetMode="External" /><Relationship Type="http://schemas.openxmlformats.org/officeDocument/2006/relationships/hyperlink" Id="rId82" Target="https://doi.org/10.1101/2024.07.30.605881" TargetMode="External" /><Relationship Type="http://schemas.openxmlformats.org/officeDocument/2006/relationships/hyperlink" Id="rId148" Target="https://doi.org/10.1111/exd.14385" TargetMode="External" /><Relationship Type="http://schemas.openxmlformats.org/officeDocument/2006/relationships/hyperlink" Id="rId122" Target="https://doi.org/10.1111/j.0022-202X.2005.23635.x" TargetMode="External" /><Relationship Type="http://schemas.openxmlformats.org/officeDocument/2006/relationships/hyperlink" Id="rId116" Target="https://doi.org/10.1128/JVI.00093-14" TargetMode="External" /><Relationship Type="http://schemas.openxmlformats.org/officeDocument/2006/relationships/hyperlink" Id="rId106" Target="https://doi.org/10.1128/JVI.00822-15" TargetMode="External" /><Relationship Type="http://schemas.openxmlformats.org/officeDocument/2006/relationships/hyperlink" Id="rId130" Target="https://doi.org/10.1128/JVI.01003-18" TargetMode="External" /><Relationship Type="http://schemas.openxmlformats.org/officeDocument/2006/relationships/hyperlink" Id="rId76" Target="https://doi.org/10.1128/JVI.03365-14" TargetMode="External" /><Relationship Type="http://schemas.openxmlformats.org/officeDocument/2006/relationships/hyperlink" Id="rId64" Target="https://doi.org/10.1128/JVI.74.24.11636-11641.2000" TargetMode="External" /><Relationship Type="http://schemas.openxmlformats.org/officeDocument/2006/relationships/hyperlink" Id="rId99" Target="https://doi.org/10.1128/mbio.01607-23" TargetMode="External" /><Relationship Type="http://schemas.openxmlformats.org/officeDocument/2006/relationships/hyperlink" Id="rId72" Target="https://doi.org/10.1152/physiolgenomics.00093.2024" TargetMode="External" /><Relationship Type="http://schemas.openxmlformats.org/officeDocument/2006/relationships/hyperlink" Id="rId126" Target="https://doi.org/10.1158/0008-5472.CAN-21-0805" TargetMode="External" /><Relationship Type="http://schemas.openxmlformats.org/officeDocument/2006/relationships/hyperlink" Id="rId110" Target="https://doi.org/10.1158/2159-8290.CD-22-0489" TargetMode="External" /><Relationship Type="http://schemas.openxmlformats.org/officeDocument/2006/relationships/hyperlink" Id="rId132" Target="https://doi.org/10.1172/jci.insight.162558" TargetMode="External" /><Relationship Type="http://schemas.openxmlformats.org/officeDocument/2006/relationships/hyperlink" Id="rId118" Target="https://doi.org/10.1172/jci.insight.177898" TargetMode="External" /><Relationship Type="http://schemas.openxmlformats.org/officeDocument/2006/relationships/hyperlink" Id="rId134" Target="https://doi.org/10.1186/s12864-020-6483-6" TargetMode="External" /><Relationship Type="http://schemas.openxmlformats.org/officeDocument/2006/relationships/hyperlink" Id="rId156" Target="https://doi.org/10.1186/s13059-019-1891-0" TargetMode="External" /><Relationship Type="http://schemas.openxmlformats.org/officeDocument/2006/relationships/hyperlink" Id="rId138" Target="https://doi.org/10.1371/journal.pone.0163962" TargetMode="External" /><Relationship Type="http://schemas.openxmlformats.org/officeDocument/2006/relationships/hyperlink" Id="rId104" Target="https://doi.org/10.1371/journal.pone.0217942" TargetMode="External" /><Relationship Type="http://schemas.openxmlformats.org/officeDocument/2006/relationships/hyperlink" Id="rId150" Target="https://doi.org/10.1371/journal.ppat.1006783" TargetMode="External" /><Relationship Type="http://schemas.openxmlformats.org/officeDocument/2006/relationships/hyperlink" Id="rId136" Target="https://doi.org/10.64898/2026.04.21.719858" TargetMode="External" /><Relationship Type="http://schemas.openxmlformats.org/officeDocument/2006/relationships/hyperlink" Id="rId55" Target="https://github.com/tpall/hpv-human-skin" TargetMode="External" /><Relationship Type="http://schemas.openxmlformats.org/officeDocument/2006/relationships/hyperlink" Id="rId101"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1/jamadermatol.2025.0531" TargetMode="External" /><Relationship Type="http://schemas.openxmlformats.org/officeDocument/2006/relationships/hyperlink" Id="rId120" Target="https://doi.org/10.1001/jamadermatol.2026.0308" TargetMode="External" /><Relationship Type="http://schemas.openxmlformats.org/officeDocument/2006/relationships/hyperlink" Id="rId68" Target="https://doi.org/10.1002/ijc.33683" TargetMode="External" /><Relationship Type="http://schemas.openxmlformats.org/officeDocument/2006/relationships/hyperlink" Id="rId152" Target="https://doi.org/10.1007/s00430-011-0212-3" TargetMode="External" /><Relationship Type="http://schemas.openxmlformats.org/officeDocument/2006/relationships/hyperlink" Id="rId158" Target="https://doi.org/10.1016/S0092-8674(04)00402-7" TargetMode="External" /><Relationship Type="http://schemas.openxmlformats.org/officeDocument/2006/relationships/hyperlink" Id="rId140" Target="https://doi.org/10.1016/j.ccell.2024.11.013" TargetMode="External" /><Relationship Type="http://schemas.openxmlformats.org/officeDocument/2006/relationships/hyperlink" Id="rId70" Target="https://doi.org/10.1016/j.cmi.2019.04.028" TargetMode="External" /><Relationship Type="http://schemas.openxmlformats.org/officeDocument/2006/relationships/hyperlink" Id="rId78" Target="https://doi.org/10.1016/j.coviro.2019.07.010" TargetMode="External" /><Relationship Type="http://schemas.openxmlformats.org/officeDocument/2006/relationships/hyperlink" Id="rId86" Target="https://doi.org/10.1016/j.virol.2019.08.007" TargetMode="External" /><Relationship Type="http://schemas.openxmlformats.org/officeDocument/2006/relationships/hyperlink" Id="rId66" Target="https://doi.org/10.1038/jid.2011.91" TargetMode="External" /><Relationship Type="http://schemas.openxmlformats.org/officeDocument/2006/relationships/hyperlink" Id="rId62" Target="https://doi.org/10.1038/nature12064" TargetMode="External" /><Relationship Type="http://schemas.openxmlformats.org/officeDocument/2006/relationships/hyperlink" Id="rId88" Target="https://doi.org/10.1038/nbt.3820" TargetMode="External" /><Relationship Type="http://schemas.openxmlformats.org/officeDocument/2006/relationships/hyperlink" Id="rId142" Target="https://doi.org/10.1038/s41586-019-1719-9" TargetMode="External" /><Relationship Type="http://schemas.openxmlformats.org/officeDocument/2006/relationships/hyperlink" Id="rId108" Target="https://doi.org/10.1038/s41586-020-3023-0" TargetMode="External" /><Relationship Type="http://schemas.openxmlformats.org/officeDocument/2006/relationships/hyperlink" Id="rId144" Target="https://doi.org/10.1038/s41586-020-3024-z" TargetMode="External" /><Relationship Type="http://schemas.openxmlformats.org/officeDocument/2006/relationships/hyperlink" Id="rId95" Target="https://doi.org/10.1038/s41586-021-04332-2" TargetMode="External" /><Relationship Type="http://schemas.openxmlformats.org/officeDocument/2006/relationships/hyperlink" Id="rId74" Target="https://doi.org/10.1038/srep05807" TargetMode="External" /><Relationship Type="http://schemas.openxmlformats.org/officeDocument/2006/relationships/hyperlink" Id="rId124" Target="https://doi.org/10.1073/pnas.2118930119" TargetMode="External" /><Relationship Type="http://schemas.openxmlformats.org/officeDocument/2006/relationships/hyperlink" Id="rId90" Target="https://doi.org/10.1093/bioinformatics/bts635" TargetMode="External" /><Relationship Type="http://schemas.openxmlformats.org/officeDocument/2006/relationships/hyperlink" Id="rId114" Target="https://doi.org/10.1093/bioinformatics/btt656" TargetMode="External" /><Relationship Type="http://schemas.openxmlformats.org/officeDocument/2006/relationships/hyperlink" Id="rId80" Target="https://doi.org/10.1093/bioinformatics/bty560" TargetMode="External" /><Relationship Type="http://schemas.openxmlformats.org/officeDocument/2006/relationships/hyperlink" Id="rId84" Target="https://doi.org/10.1093/gigascience/giab008" TargetMode="External" /><Relationship Type="http://schemas.openxmlformats.org/officeDocument/2006/relationships/hyperlink" Id="rId128" Target="https://doi.org/10.1093/infdis/jiy577" TargetMode="External" /><Relationship Type="http://schemas.openxmlformats.org/officeDocument/2006/relationships/hyperlink" Id="rId112" Target="https://doi.org/10.1093/nar/gkq1019" TargetMode="External" /><Relationship Type="http://schemas.openxmlformats.org/officeDocument/2006/relationships/hyperlink" Id="rId146" Target="https://doi.org/10.1093/nar/gkw879" TargetMode="External" /><Relationship Type="http://schemas.openxmlformats.org/officeDocument/2006/relationships/hyperlink" Id="rId97" Target="https://doi.org/10.1097/DAD.0000000000001289" TargetMode="External" /><Relationship Type="http://schemas.openxmlformats.org/officeDocument/2006/relationships/hyperlink" Id="rId82" Target="https://doi.org/10.1101/2024.07.30.605881" TargetMode="External" /><Relationship Type="http://schemas.openxmlformats.org/officeDocument/2006/relationships/hyperlink" Id="rId148" Target="https://doi.org/10.1111/exd.14385" TargetMode="External" /><Relationship Type="http://schemas.openxmlformats.org/officeDocument/2006/relationships/hyperlink" Id="rId122" Target="https://doi.org/10.1111/j.0022-202X.2005.23635.x" TargetMode="External" /><Relationship Type="http://schemas.openxmlformats.org/officeDocument/2006/relationships/hyperlink" Id="rId116" Target="https://doi.org/10.1128/JVI.00093-14" TargetMode="External" /><Relationship Type="http://schemas.openxmlformats.org/officeDocument/2006/relationships/hyperlink" Id="rId106" Target="https://doi.org/10.1128/JVI.00822-15" TargetMode="External" /><Relationship Type="http://schemas.openxmlformats.org/officeDocument/2006/relationships/hyperlink" Id="rId130" Target="https://doi.org/10.1128/JVI.01003-18" TargetMode="External" /><Relationship Type="http://schemas.openxmlformats.org/officeDocument/2006/relationships/hyperlink" Id="rId76" Target="https://doi.org/10.1128/JVI.03365-14" TargetMode="External" /><Relationship Type="http://schemas.openxmlformats.org/officeDocument/2006/relationships/hyperlink" Id="rId64" Target="https://doi.org/10.1128/JVI.74.24.11636-11641.2000" TargetMode="External" /><Relationship Type="http://schemas.openxmlformats.org/officeDocument/2006/relationships/hyperlink" Id="rId99" Target="https://doi.org/10.1128/mbio.01607-23" TargetMode="External" /><Relationship Type="http://schemas.openxmlformats.org/officeDocument/2006/relationships/hyperlink" Id="rId72" Target="https://doi.org/10.1152/physiolgenomics.00093.2024" TargetMode="External" /><Relationship Type="http://schemas.openxmlformats.org/officeDocument/2006/relationships/hyperlink" Id="rId126" Target="https://doi.org/10.1158/0008-5472.CAN-21-0805" TargetMode="External" /><Relationship Type="http://schemas.openxmlformats.org/officeDocument/2006/relationships/hyperlink" Id="rId110" Target="https://doi.org/10.1158/2159-8290.CD-22-0489" TargetMode="External" /><Relationship Type="http://schemas.openxmlformats.org/officeDocument/2006/relationships/hyperlink" Id="rId132" Target="https://doi.org/10.1172/jci.insight.162558" TargetMode="External" /><Relationship Type="http://schemas.openxmlformats.org/officeDocument/2006/relationships/hyperlink" Id="rId118" Target="https://doi.org/10.1172/jci.insight.177898" TargetMode="External" /><Relationship Type="http://schemas.openxmlformats.org/officeDocument/2006/relationships/hyperlink" Id="rId134" Target="https://doi.org/10.1186/s12864-020-6483-6" TargetMode="External" /><Relationship Type="http://schemas.openxmlformats.org/officeDocument/2006/relationships/hyperlink" Id="rId156" Target="https://doi.org/10.1186/s13059-019-1891-0" TargetMode="External" /><Relationship Type="http://schemas.openxmlformats.org/officeDocument/2006/relationships/hyperlink" Id="rId138" Target="https://doi.org/10.1371/journal.pone.0163962" TargetMode="External" /><Relationship Type="http://schemas.openxmlformats.org/officeDocument/2006/relationships/hyperlink" Id="rId104" Target="https://doi.org/10.1371/journal.pone.0217942" TargetMode="External" /><Relationship Type="http://schemas.openxmlformats.org/officeDocument/2006/relationships/hyperlink" Id="rId150" Target="https://doi.org/10.1371/journal.ppat.1006783" TargetMode="External" /><Relationship Type="http://schemas.openxmlformats.org/officeDocument/2006/relationships/hyperlink" Id="rId136" Target="https://doi.org/10.64898/2026.04.21.719858" TargetMode="External" /><Relationship Type="http://schemas.openxmlformats.org/officeDocument/2006/relationships/hyperlink" Id="rId55" Target="https://github.com/tpall/hpv-human-skin" TargetMode="External" /><Relationship Type="http://schemas.openxmlformats.org/officeDocument/2006/relationships/hyperlink" Id="rId101"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2026-10-13T09:49:17Z</dcterms:created>
  <dcterms:modified xsi:type="dcterms:W3CDTF">2026-10-13T09:49:17Z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journal-of-investigative-dermatology.csl</vt:lpwstr>
  </property>
  <property fmtid="{D5CDD505-2E9C-101B-9397-08002B2CF9AE}" pid="10" name="date">
    <vt:lpwstr>2026-10-13</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Short version, formatted to Journal of Investigative Dermatology limits</vt:lpwstr>
  </property>
  <property fmtid="{D5CDD505-2E9C-101B-9397-08002B2CF9AE}" pid="17" name="tbl-cap-location">
    <vt:lpwstr>top</vt:lpwstr>
  </property>
  <property fmtid="{D5CDD505-2E9C-101B-9397-08002B2CF9AE}" pid="18" name="toc-title">
    <vt:lpwstr>Table of contents</vt:lpwstr>
  </property>
</Properties>
</file>