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What a presence catalogue cannot measure.</w:t>
      </w:r>
      <w:r>
        <w:t xml:space="preserve"> </w:t>
      </w:r>
      <w:r>
        <w:t xml:space="preserve">Petabase-scale surveys establish that a virus is present in a body site, and are now the standard way to do so, but presence is not activity. They are also assembly-based, and an integrated genome cannot assemble across the virus-host junction, so genome state has to be read from reads or from transcription rather than from catalogue membership: conditioning on near-complete L1-anchored contigs returns an intact E2 in 99.3% of cervical carcinoma contigs against 99.9% in skin (</w:t>
      </w:r>
      <w:hyperlink w:anchor="supptbl-e2">
        <w:r>
          <w:rPr>
            <w:rStyle w:val="Hyperlink"/>
          </w:rPr>
          <w:t xml:space="preserve">Table S8</w:t>
        </w:r>
      </w:hyperlink>
      <w:r>
        <w:t xml:space="preserve">), which is close to a tautology, since the completeness criterion has already selected episomal genomes in both.</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fig-types"/>
          <w:p>
            <w:pPr>
              <w:pStyle w:val="Compact"/>
              <w:jc w:val="center"/>
            </w:pPr>
            <w:r>
              <w:drawing>
                <wp:inline>
                  <wp:extent cx="5943600" cy="2729653"/>
                  <wp:effectExtent b="0" l="0" r="0" t="0"/>
                  <wp:docPr descr="" title="" id="173" name="Picture"/>
                  <a:graphic>
                    <a:graphicData uri="http://schemas.openxmlformats.org/drawingml/2006/picture">
                      <pic:pic>
                        <pic:nvPicPr>
                          <pic:cNvPr descr="figureS2.png" id="174" name="Picture"/>
                          <pic:cNvPicPr>
                            <a:picLocks noChangeArrowheads="1" noChangeAspect="1"/>
                          </pic:cNvPicPr>
                        </pic:nvPicPr>
                        <pic:blipFill>
                          <a:blip r:embed="rId17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72" Target="media/rId172.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2026-08-24T10:15:29Z</dcterms:created>
  <dcterms:modified xsi:type="dcterms:W3CDTF">2026-08-24T10:15:29Z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