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22.png" ContentType="image/png"/>
  <Override PartName="/word/media/rId1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that reside on skin as a commensal reservoir, yet their role in cutaneous squamous cell carcinoma (cSCC) remains contested between a</w:t>
      </w:r>
      <w:r>
        <w:t xml:space="preserve"> </w:t>
      </w:r>
      <w:r>
        <w:t xml:space="preserve">“hit-and-run”</w:t>
      </w:r>
      <w:r>
        <w:t xml:space="preserve"> </w:t>
      </w:r>
      <w:r>
        <w:t xml:space="preserve">oncogenic model and a protective-immunity model. Because standard pipelines discard the non-human reads that carry HPV signal, we re-mined public human RNA-seq across skin and related tissues with a uniform pipeline that screens each library for papillomavirus reads, types positives against the full reference panel, and scores productive infection from late (L1 major-capsid) transcript expression. To control the two dominant confounders, we flagged cell-line and engineered material and scored each library as papillomavirus reads-per-million, neutralising sequencing depth. HPV signal was concentrated in non-primary material: cell-line and engineered libraries were roughly five-fold enriched for positivity (OR 4.7–5.3,</w:t>
      </w:r>
      <w:r>
        <w:t xml:space="preserve"> </w:t>
      </w:r>
      <w:r>
        <w:rPr>
          <w:i/>
          <w:iCs/>
        </w:rPr>
        <w:t xml:space="preserve">P</w:t>
      </w:r>
      <w:r>
        <w:t xml:space="preserve"> </w:t>
      </w:r>
      <w:r>
        <w:t xml:space="preserve">&lt; 10⁻⁸) and dominated by integrated HPV16/HPV18, whereas primary skin carried HPV at only 2–4%. Productive infection was abundant in warts and epidermodysplasia verruciformis (64% of libraries). By contrast, cSCC and actinic keratosis, sequenced almost four times more deeply than the productive controls, reached the control-calibrated detection floor in only 1.4% of libraries against 93.2% of productive controls (Fisher exact OR 8,296), and their median burden was six orders of magnitude lower. Depth-adjusted, neoplasia did sit above the near-zero baseline of unselected skin (OR 10,</w:t>
      </w:r>
      <w:r>
        <w:t xml:space="preserve"> </w:t>
      </w:r>
      <w:r>
        <w:rPr>
          <w:i/>
          <w:iCs/>
        </w:rPr>
        <w:t xml:space="preserve">P</w:t>
      </w:r>
      <w:r>
        <w:t xml:space="preserve"> </w:t>
      </w:r>
      <w:r>
        <w:t xml:space="preserve">= 4.1×10⁻⁵), but only as a trace footprint (any-read OR 1.7,</w:t>
      </w:r>
      <w:r>
        <w:t xml:space="preserve"> </w:t>
      </w:r>
      <w:r>
        <w:rPr>
          <w:i/>
          <w:iCs/>
        </w:rPr>
        <w:t xml:space="preserve">P</w:t>
      </w:r>
      <w:r>
        <w:t xml:space="preserve"> </w:t>
      </w:r>
      <w:r>
        <w:t xml:space="preserve">= 3.3×10⁻⁷) that deeper sequencing never converted into productive-level signal. A minority of lesions nonetheless harboured bona fide productive gamma-/alpha-HPV infection (HPV12, HPV96, HPV182, HPV16). Cutaneous HPV is thus productive in warts but transcriptionally quiet in healthy skin and carcinoma: a trace, non-productive footprint that both contested models must accommodate. Beyond HPV, this contamination-aware, depth-normalised framework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Whether beta-HPV is present in established cutaneous neoplasia as a transcriptionally active driver or merely as a trace, hit-and-run footprint is therefore a question that bears directly on its causal role.</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A small number of studies have shown that cutaneous HPV transcripts can indeed be read from skin RNA-seq, including whole-transcriptome virome profiling of EV skin</w:t>
      </w:r>
      <w:r>
        <w:t xml:space="preserve"> </w:t>
      </w:r>
      <w:r>
        <w:t xml:space="preserve">(Saeidian, Youssefian, Naji, others, et al. 2023)</w:t>
      </w:r>
      <w:r>
        <w:t xml:space="preserve">, whereas others have reported the opposite, finding HPV transcriptionally silent in cSCC</w:t>
      </w:r>
      <w:r>
        <w:t xml:space="preserve"> </w:t>
      </w:r>
      <w:r>
        <w:t xml:space="preserve">(Arron et al. 2011)</w:t>
      </w:r>
      <w:r>
        <w:t xml:space="preserve">.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w:t>
      </w:r>
    </w:p>
    <w:bookmarkEnd w:id="21"/>
    <w:bookmarkStart w:id="35"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substring matching of sample title and source fields against a curated keyword table, yielding one of four classes: skin, anogenital, oral, or other (the default).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Youssefian, Naji, Mahmoudi,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1"/>
    <w:bookmarkStart w:id="34"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2">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3">
        <w:r>
          <w:rPr>
            <w:rStyle w:val="Hyperlink"/>
          </w:rPr>
          <w:t xml:space="preserve">https://pave.niaid.nih.gov</w:t>
        </w:r>
      </w:hyperlink>
      <w:r>
        <w:t xml:space="preserve">) and NCBI RefSeq.</w:t>
      </w:r>
    </w:p>
    <w:bookmarkEnd w:id="34"/>
    <w:bookmarkEnd w:id="35"/>
    <w:bookmarkStart w:id="4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37"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36"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6"/>
          <w:p/>
        </w:tc>
      </w:tr>
    </w:tbl>
    <w:bookmarkEnd w:id="37"/>
    <w:bookmarkStart w:id="42"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hit-and-run footprint, was resolved by the depth-normalised burden analysis (</w:t>
      </w:r>
      <w:hyperlink w:anchor="fig-rpm">
        <w:r>
          <w:rPr>
            <w:rStyle w:val="Hyperlink"/>
          </w:rPr>
          <w:t xml:space="preserve">Figure 1</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1.4% of libraries (median 0.005 RPM), six orders of magnitude below the productive controls, despite being sequenced almost four times more deeply than they were (median 44.3M vs 12.2M reads). Unselected skin, once the peri-lesional and EV material that the targeted queries had swept into it was reassigned to its own tiers (Methods), forms an almost clean null: 0.1% of 7,327 libraries reach the floor.</w:t>
      </w:r>
    </w:p>
    <w:tbl>
      <w:tblPr>
        <w:tblStyle w:val="Table"/>
        <w:tblW w:type="pct" w:w="5000"/>
        <w:tblLayout w:type="fixed"/>
        <w:tblLook w:firstRow="0" w:lastRow="0" w:firstColumn="0" w:lastColumn="0" w:noHBand="0" w:noVBand="0" w:val="0000"/>
      </w:tblPr>
      <w:tblGrid>
        <w:gridCol w:w="7920"/>
      </w:tblGrid>
      <w:tr>
        <w:tc>
          <w:tcPr/>
          <w:bookmarkStart w:id="41" w:name="fig-rpm"/>
          <w:p>
            <w:pPr>
              <w:pStyle w:val="Compact"/>
              <w:jc w:val="center"/>
            </w:pPr>
            <w:r>
              <w:drawing>
                <wp:inline>
                  <wp:extent cx="5943600" cy="3632200"/>
                  <wp:effectExtent b="0" l="0" r="0" t="0"/>
                  <wp:docPr descr="" title="" id="39" name="Picture"/>
                  <a:graphic>
                    <a:graphicData uri="http://schemas.openxmlformats.org/drawingml/2006/picture">
                      <pic:pic>
                        <pic:nvPicPr>
                          <pic:cNvPr descr="figure1.png" id="40" name="Picture"/>
                          <pic:cNvPicPr>
                            <a:picLocks noChangeArrowheads="1" noChangeAspect="1"/>
                          </pic:cNvPicPr>
                        </pic:nvPicPr>
                        <pic:blipFill>
                          <a:blip r:embed="rId3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7,327), cell lines (697), productive controls (warts/condyloma; 44), epidermodysplasia verruciformis biopsies (EV; 10), cutaneous neoplasia (cSCC/actinic keratosis; 442), peri-lesional mucosa (condyloma-adjacent tissue; 15), and other tissues (2,747).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(1.4% and 0.1% above floor) despite neoplasia being sequenced far more deeply than the productive controls (median 44.3M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1"/>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8,296, 95% CI 2,409 to ∞ under separation,</w:t>
      </w:r>
      <w:r>
        <w:t xml:space="preserve"> </w:t>
      </w:r>
      <w:r>
        <w:rPr>
          <w:i/>
          <w:iCs/>
        </w:rPr>
        <w:t xml:space="preserve">P</w:t>
      </w:r>
      <w:r>
        <w:t xml:space="preserve"> </w:t>
      </w:r>
      <w:r>
        <w:t xml:space="preserve">= 3.3×10⁻⁹⁶), while neoplasia sat an order of magnitude above skin (OR 10, 95% CI 3.3–30,</w:t>
      </w:r>
      <w:r>
        <w:t xml:space="preserve"> </w:t>
      </w:r>
      <w:r>
        <w:rPr>
          <w:i/>
          <w:iCs/>
        </w:rPr>
        <w:t xml:space="preserve">P</w:t>
      </w:r>
      <w:r>
        <w:t xml:space="preserve"> </w:t>
      </w:r>
      <w:r>
        <w:t xml:space="preserve">= 4.1×10⁻⁵). That contrast is easier to read on the absolute scale from which the odds ratios derive: 41/44 productive controls cross the floor, against 6/442 neoplasia libraries and 9/7,327 skin libraries. Neoplasia is thus measurably, but marginally, above a near-zero baseline, and remains roughly 67-fold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4.6, 4.0–5.2,</w:t>
      </w:r>
      <w:r>
        <w:t xml:space="preserve"> </w:t>
      </w:r>
      <w:r>
        <w:rPr>
          <w:i/>
          <w:iCs/>
        </w:rPr>
        <w:t xml:space="preserve">P</w:t>
      </w:r>
      <w:r>
        <w:t xml:space="preserve"> </w:t>
      </w:r>
      <w:r>
        <w:t xml:space="preserve">= 4.6×10⁻¹¹⁶), but it did not raise the odds of reaching the detection floor, either as a covariate across tiers (OR 1.4, 0.4–4.8,</w:t>
      </w:r>
      <w:r>
        <w:t xml:space="preserve"> </w:t>
      </w:r>
      <w:r>
        <w:rPr>
          <w:i/>
          <w:iCs/>
        </w:rPr>
        <w:t xml:space="preserve">P</w:t>
      </w:r>
      <w:r>
        <w:t xml:space="preserve"> </w:t>
      </w:r>
      <w:r>
        <w:t xml:space="preserve">= 0.59) or within the neoplasia tier alone (OR 1.7, 95% CI 0.1–23,</w:t>
      </w:r>
      <w:r>
        <w:t xml:space="preserve"> </w:t>
      </w:r>
      <w:r>
        <w:rPr>
          <w:i/>
          <w:iCs/>
        </w:rPr>
        <w:t xml:space="preserve">P</w:t>
      </w:r>
      <w:r>
        <w:t xml:space="preserve"> </w:t>
      </w:r>
      <w:r>
        <w:t xml:space="preserve">= 0.68). The deepest cSCC/AK libraries, at 327.3M reads, did not cross the productive floor. Consistent with a residual hit-and-run footprint rather than active infection, neoplasia showed a clear excess of</w:t>
      </w:r>
      <w:r>
        <w:t xml:space="preserve"> </w:t>
      </w:r>
      <w:r>
        <w:rPr>
          <w:i/>
          <w:iCs/>
        </w:rPr>
        <w:t xml:space="preserve">trace</w:t>
      </w:r>
      <w:r>
        <w:t xml:space="preserve"> </w:t>
      </w:r>
      <w:r>
        <w:t xml:space="preserve">HPV (any read; OR 1.7, 95% CI 1.4–2.1,</w:t>
      </w:r>
      <w:r>
        <w:t xml:space="preserve"> </w:t>
      </w:r>
      <w:r>
        <w:rPr>
          <w:i/>
          <w:iCs/>
        </w:rPr>
        <w:t xml:space="preserve">P</w:t>
      </w:r>
      <w:r>
        <w:t xml:space="preserve"> </w:t>
      </w:r>
      <w:r>
        <w:t xml:space="preserve">= 3.3×10⁻⁷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(CIN/SCC),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5.3,</w:t>
      </w:r>
      <w:r>
        <w:t xml:space="preserve"> </w:t>
      </w:r>
      <w:r>
        <w:rPr>
          <w:i/>
          <w:iCs/>
        </w:rPr>
        <w:t xml:space="preserve">P</w:t>
      </w:r>
      <w:r>
        <w:t xml:space="preserve"> </w:t>
      </w:r>
      <w:r>
        <w:t xml:space="preserve">= 0.018) and strengthening the productivity contrast against warts/EV (OR 5.2,</w:t>
      </w:r>
      <w:r>
        <w:t xml:space="preserve"> </w:t>
      </w:r>
      <w:r>
        <w:rPr>
          <w:i/>
          <w:iCs/>
        </w:rPr>
        <w:t xml:space="preserve">P</w:t>
      </w:r>
      <w:r>
        <w:t xml:space="preserve"> </w:t>
      </w:r>
      <w:r>
        <w:t xml:space="preserve">= 0.0038), so the retained tier is the conservative choice.</w:t>
      </w:r>
    </w:p>
    <w:bookmarkEnd w:id="42"/>
    <w:bookmarkStart w:id="43"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cSCC/CIN skin library productively infected with the gamma-type HPV12 (99.8% genome coverage; L1 = 1,803, L2 = 3,546 reads), two HPV16-productive cSCC libraries, and two</w:t>
      </w:r>
      <w:r>
        <w:t xml:space="preserve"> </w:t>
      </w:r>
      <w:r>
        <w:t xml:space="preserve">“other-tissue”</w:t>
      </w:r>
      <w:r>
        <w:t xml:space="preserve"> </w:t>
      </w:r>
      <w:r>
        <w:t xml:space="preserve">libraries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non-traditional-tissue and productive-infection questions: bona fide, high-confidence productive beta/gamma-HPV infections do occur in primary skin and skin-associated lesions, but they are the exception against a null background.</w:t>
      </w:r>
    </w:p>
    <w:bookmarkEnd w:id="43"/>
    <w:bookmarkStart w:id="4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suppfig-genus">
        <w:r>
          <w:rPr>
            <w:rStyle w:val="Hyperlink"/>
          </w:rPr>
          <w:t xml:space="preserve">Figure S2</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(2.6% [1.3–4.3] versus 1.9% [0.86–3.4]),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S5</w:t>
        </w:r>
      </w:hyperlink>
      <w:r>
        <w:t xml:space="preserve">). This recovers the expected commensal signal at the sensitivity floor: healthy skin carried a diverse cutaneous reservoir (38 of 55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S6</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S6</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bookmarkEnd w:id="44"/>
    <w:bookmarkStart w:id="4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1.7 [1.4, 2.1]; each with P(OR &gt; 1) &gt; 0.999). Crucially, the productive-controls-versus-skin contrast, whose frequentist odds ratio (8,296) is inflated and unstable under separation, regularised to a finite but still enormous posterior OR of 6,709 [2,330, 23,011] (10,715 [3,250, 46,581]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1.8 [0.2, 21], P(OR &gt; 1) = 0.698), and the warts/EV-versus-neoplasia productivity contrast held (OR 3.7 [1.3, 11], P(OR &gt; 1) = 0.991). The neoplasia-versus-skin comparison at floor level, whose frequentist interval is wide because it rests on 6 above-floor libraries, shrinks under the prior but stays clearly positive (OR 8.7 [2.9, 26], P(OR &gt; 1) = &gt;0.999): the small floor-level elevation of neoplasia over clean skin is genuine. It is nonetheless negligible beside the near-four-orders-of-magnitude productive-control effect, and it does not alter the trace-not-productive conclusion.</w:t>
      </w:r>
    </w:p>
    <w:bookmarkEnd w:id="45"/>
    <w:bookmarkEnd w:id="46"/>
    <w:bookmarkStart w:id="52"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47" w:name="X43de99524c71bde4269516b9094ca251ab5b818"/>
    <w:p>
      <w:pPr>
        <w:pStyle w:val="Heading3"/>
      </w:pPr>
      <w:r>
        <w:t xml:space="preserve">Trace, not productive: a population-scale transcriptomic test of the hit-and-run model</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442 cSCC/AK libraries, only 6 reached the control-calibrated detection floor (1.4%), against 93.2% of productive controls, and the tier’s median burden was 0.005 RPM against 5,408 RPM in controls. Neoplasia does carry HPV more often than clean skin, both as a trace signal (any read; OR 1.7,</w:t>
      </w:r>
      <w:r>
        <w:t xml:space="preserve"> </w:t>
      </w:r>
      <w:r>
        <w:rPr>
          <w:i/>
          <w:iCs/>
        </w:rPr>
        <w:t xml:space="preserve">P</w:t>
      </w:r>
      <w:r>
        <w:t xml:space="preserve"> </w:t>
      </w:r>
      <w:r>
        <w:t xml:space="preserve">= 3.3×10⁻⁷) and, marginally, at the detection floor (OR 10,</w:t>
      </w:r>
      <w:r>
        <w:t xml:space="preserve"> </w:t>
      </w:r>
      <w:r>
        <w:rPr>
          <w:i/>
          <w:iCs/>
        </w:rPr>
        <w:t xml:space="preserve">P</w:t>
      </w:r>
      <w:r>
        <w:t xml:space="preserve"> </w:t>
      </w:r>
      <w:r>
        <w:t xml:space="preserve">= 4.1×10⁻⁵; halved to OR 5.3 once the 3 mucosal HPV16 cases are removed). But that elevation is a rise from near-zero to near-zero, and it is not converted into productive burden by any amount of sequencing. This is precisely the residual footprint, rather than active infection, that hit-and-run predicts. It also extends a long-standing but contested single-study observation. More than a decade ago,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our results confirm that conclusion at two orders of magnitude greater scale and show that it is not an artefact of shallow sequencing: the neoplasia libraries were sequenced almost four times more deeply than the productive controls (median 44.3M vs 12.2M reads), and even the deepest among them, at 327.3M reads, did not cross the productive threshold.</w:t>
      </w:r>
    </w:p>
    <w:p>
      <w:pPr>
        <w:pStyle w:val="BodyText"/>
      </w:pPr>
      <w:r>
        <w:t xml:space="preserve">That said, transcriptomic absence cannot by itself adjudicate the mechanism. A trace, non-productive footprint is equally compatible with hit-and-run oncogenesis and with the alternative, immunosurveillance-based view in which commensal beta-HPV is not an oncogenic driver at all but a marker whose control by antiviral T cells is itself protective against skin cancer</w:t>
      </w:r>
      <w:r>
        <w:t xml:space="preserve"> </w:t>
      </w:r>
      <w:r>
        <w:t xml:space="preserve">(Strickley et al. 2019)</w:t>
      </w:r>
      <w:r>
        <w:t xml:space="preserve">. Our cross-sectional snapshot of bulk transcription measures viral activity, not causation, and cannot distinguish a virus that has</w:t>
      </w:r>
      <w:r>
        <w:t xml:space="preserve"> </w:t>
      </w:r>
      <w:r>
        <w:t xml:space="preserve">“hit and run”</w:t>
      </w:r>
      <w:r>
        <w:t xml:space="preserve"> </w:t>
      </w:r>
      <w:r>
        <w:t xml:space="preserve">from one that was never causally required. What it does establish, robustly and at scale, is the phenomenology both models must accommodate: established cutaneous neoplasia does not host productive HPV infection.</w:t>
      </w:r>
    </w:p>
    <w:bookmarkEnd w:id="47"/>
    <w:bookmarkStart w:id="4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questions about non-traditional tissues and productive infection.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48"/>
    <w:bookmarkStart w:id="49"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Any survey that pools archived data without flagging non-primary material and without coverage-breadth and depth thresholds will substantially overstate HPV prevalence and mis-attribute mucosal high-risk types to tissues where they have no biological place. The combination we applied, namely explicit cell-line/engineered/in-vitro annotation, study-level curation, dual breadth-and-depth typing thresholds, and depth-normalised burden, is in our view a necessary minimum for credible virus mining of public transcriptomes, and it generalises beyond HPV.</w:t>
      </w:r>
    </w:p>
    <w:bookmarkEnd w:id="49"/>
    <w:bookmarkStart w:id="50"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 selection biases viral recovery: poly-A-selected protocols can deplete viral transcripts, and library types are heterogeneous across studies, so absence of HPV reads is not proof of absence of virus, and our productivity estimates are conservative. Third, tissue and diagnosis labels were derived programmatically from sample metadata and are imperfect, despite curation; residual misclassification adds noise to the tier assignments. Fourth,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Fifth,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50"/>
    <w:bookmarkStart w:id="51"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both the hit-and-run and the protective-immunity models of beta-HPV in skin cancer must explain. Distinguishing between them will require matched DNA- and RNA-level profiling across the precursor-to-carcinoma transition, single-cell or spatial resolution of where the residual virus resides, and linkage to host antiviral immunity. The public-archive mining framework developed here, with its contamination controls and depth normalisation, provides a scalable foundation for that work.</w:t>
      </w:r>
    </w:p>
    <w:bookmarkEnd w:id="51"/>
    <w:bookmarkEnd w:id="52"/>
    <w:bookmarkStart w:id="121" w:name="references"/>
    <w:p>
      <w:pPr>
        <w:pStyle w:val="Heading2"/>
      </w:pPr>
      <w:r>
        <w:t xml:space="preserve">References</w:t>
      </w:r>
    </w:p>
    <w:bookmarkStart w:id="120" w:name="refs"/>
    <w:bookmarkStart w:id="54"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3">
        <w:r>
          <w:rPr>
            <w:rStyle w:val="Hyperlink"/>
          </w:rPr>
          <w:t xml:space="preserve">https://doi.org/10.1038/nature12064</w:t>
        </w:r>
      </w:hyperlink>
      <w:r>
        <w:t xml:space="preserve">.</w:t>
      </w:r>
    </w:p>
    <w:bookmarkEnd w:id="54"/>
    <w:bookmarkStart w:id="56"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5">
        <w:r>
          <w:rPr>
            <w:rStyle w:val="Hyperlink"/>
          </w:rPr>
          <w:t xml:space="preserve">https://doi.org/10.1128/JVI.74.24.11636-11641.2000</w:t>
        </w:r>
      </w:hyperlink>
      <w:r>
        <w:t xml:space="preserve">.</w:t>
      </w:r>
    </w:p>
    <w:bookmarkEnd w:id="56"/>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w:t>
      </w:r>
    </w:p>
    <w:bookmarkEnd w:id="57"/>
    <w:bookmarkStart w:id="58"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58"/>
    <w:bookmarkStart w:id="60"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59">
        <w:r>
          <w:rPr>
            <w:rStyle w:val="Hyperlink"/>
          </w:rPr>
          <w:t xml:space="preserve">https://doi.org/10.3389/fmicb.2018.00117</w:t>
        </w:r>
      </w:hyperlink>
      <w:r>
        <w:t xml:space="preserve">.</w:t>
      </w:r>
    </w:p>
    <w:bookmarkEnd w:id="60"/>
    <w:bookmarkStart w:id="61"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61"/>
    <w:bookmarkStart w:id="63"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2">
        <w:r>
          <w:rPr>
            <w:rStyle w:val="Hyperlink"/>
          </w:rPr>
          <w:t xml:space="preserve">https://doi.org/10.1128/JVI.03365-14</w:t>
        </w:r>
      </w:hyperlink>
      <w:r>
        <w:t xml:space="preserve">.</w:t>
      </w:r>
    </w:p>
    <w:bookmarkEnd w:id="63"/>
    <w:bookmarkStart w:id="65"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64">
        <w:r>
          <w:rPr>
            <w:rStyle w:val="Hyperlink"/>
          </w:rPr>
          <w:t xml:space="preserve">https://doi.org/10.1093/bioinformatics/bty560</w:t>
        </w:r>
      </w:hyperlink>
      <w:r>
        <w:t xml:space="preserve">.</w:t>
      </w:r>
    </w:p>
    <w:bookmarkEnd w:id="65"/>
    <w:bookmarkStart w:id="67"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66">
        <w:r>
          <w:rPr>
            <w:rStyle w:val="Hyperlink"/>
          </w:rPr>
          <w:t xml:space="preserve">https://doi.org/10.1093/gigascience/giab008</w:t>
        </w:r>
      </w:hyperlink>
      <w:r>
        <w:t xml:space="preserve">.</w:t>
      </w:r>
    </w:p>
    <w:bookmarkEnd w:id="67"/>
    <w:bookmarkStart w:id="69"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68">
        <w:r>
          <w:rPr>
            <w:rStyle w:val="Hyperlink"/>
          </w:rPr>
          <w:t xml:space="preserve">https://doi.org/10.1038/nbt.3820</w:t>
        </w:r>
      </w:hyperlink>
      <w:r>
        <w:t xml:space="preserve">.</w:t>
      </w:r>
    </w:p>
    <w:bookmarkEnd w:id="69"/>
    <w:bookmarkStart w:id="71"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0">
        <w:r>
          <w:rPr>
            <w:rStyle w:val="Hyperlink"/>
          </w:rPr>
          <w:t xml:space="preserve">https://doi.org/10.1093/bioinformatics/bts635</w:t>
        </w:r>
      </w:hyperlink>
      <w:r>
        <w:t xml:space="preserve">.</w:t>
      </w:r>
    </w:p>
    <w:bookmarkEnd w:id="71"/>
    <w:bookmarkStart w:id="72"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72"/>
    <w:bookmarkStart w:id="73"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73"/>
    <w:bookmarkStart w:id="74"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74"/>
    <w:bookmarkStart w:id="76"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75">
        <w:r>
          <w:rPr>
            <w:rStyle w:val="Hyperlink"/>
          </w:rPr>
          <w:t xml:space="preserve">https://doi.org/10.1038/s41586-021-04332-2</w:t>
        </w:r>
      </w:hyperlink>
      <w:r>
        <w:t xml:space="preserve">.</w:t>
      </w:r>
    </w:p>
    <w:bookmarkEnd w:id="76"/>
    <w:bookmarkStart w:id="77"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77"/>
    <w:bookmarkStart w:id="78"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78"/>
    <w:bookmarkStart w:id="80"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79">
        <w:r>
          <w:rPr>
            <w:rStyle w:val="Hyperlink"/>
          </w:rPr>
          <w:t xml:space="preserve">https://mc-stan.org/rstanarm/</w:t>
        </w:r>
      </w:hyperlink>
      <w:r>
        <w:t xml:space="preserve">.</w:t>
      </w:r>
    </w:p>
    <w:bookmarkEnd w:id="80"/>
    <w:bookmarkStart w:id="81"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81"/>
    <w:bookmarkStart w:id="82"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82"/>
    <w:bookmarkStart w:id="83"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83"/>
    <w:bookmarkStart w:id="85"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84">
        <w:r>
          <w:rPr>
            <w:rStyle w:val="Hyperlink"/>
          </w:rPr>
          <w:t xml:space="preserve">https://doi.org/10.1084/jem.20170308</w:t>
        </w:r>
      </w:hyperlink>
      <w:r>
        <w:t xml:space="preserve">.</w:t>
      </w:r>
    </w:p>
    <w:bookmarkEnd w:id="85"/>
    <w:bookmarkStart w:id="86"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86"/>
    <w:bookmarkStart w:id="88"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87">
        <w:r>
          <w:rPr>
            <w:rStyle w:val="Hyperlink"/>
          </w:rPr>
          <w:t xml:space="preserve">https://doi.org/10.1128/JVI.00822-15</w:t>
        </w:r>
      </w:hyperlink>
      <w:r>
        <w:t xml:space="preserve">.</w:t>
      </w:r>
    </w:p>
    <w:bookmarkEnd w:id="88"/>
    <w:bookmarkStart w:id="89"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89"/>
    <w:bookmarkStart w:id="90"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90"/>
    <w:bookmarkStart w:id="92"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1">
        <w:r>
          <w:rPr>
            <w:rStyle w:val="Hyperlink"/>
          </w:rPr>
          <w:t xml:space="preserve">https://doi.org/10.1093/nar/gkq1019</w:t>
        </w:r>
      </w:hyperlink>
      <w:r>
        <w:t xml:space="preserve">.</w:t>
      </w:r>
    </w:p>
    <w:bookmarkEnd w:id="92"/>
    <w:bookmarkStart w:id="94"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93">
        <w:r>
          <w:rPr>
            <w:rStyle w:val="Hyperlink"/>
          </w:rPr>
          <w:t xml:space="preserve">https://doi.org/10.1093/bioinformatics/btt656</w:t>
        </w:r>
      </w:hyperlink>
      <w:r>
        <w:t xml:space="preserve">.</w:t>
      </w:r>
    </w:p>
    <w:bookmarkEnd w:id="94"/>
    <w:bookmarkStart w:id="95"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95"/>
    <w:bookmarkStart w:id="96"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96"/>
    <w:bookmarkStart w:id="97"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97"/>
    <w:bookmarkStart w:id="98"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98"/>
    <w:bookmarkStart w:id="100"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99">
        <w:r>
          <w:rPr>
            <w:rStyle w:val="Hyperlink"/>
          </w:rPr>
          <w:t xml:space="preserve">https://doi.org/10.1038/ng1044</w:t>
        </w:r>
      </w:hyperlink>
      <w:r>
        <w:t xml:space="preserve">.</w:t>
      </w:r>
    </w:p>
    <w:bookmarkEnd w:id="100"/>
    <w:bookmarkStart w:id="102"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01">
        <w:r>
          <w:rPr>
            <w:rStyle w:val="Hyperlink"/>
          </w:rPr>
          <w:t xml:space="preserve">https://doi.org/10.1128/JVI.01003-18</w:t>
        </w:r>
      </w:hyperlink>
      <w:r>
        <w:t xml:space="preserve">.</w:t>
      </w:r>
    </w:p>
    <w:bookmarkEnd w:id="102"/>
    <w:bookmarkStart w:id="104" w:name="ref-vahidnezhad2023"/>
    <w:p>
      <w:pPr>
        <w:pStyle w:val="Bibliography"/>
      </w:pPr>
      <w:r>
        <w:t xml:space="preserve">Saeidian, Amir Hossein, Leila Youssefian, Maryam Naji, Hamidreza Mahmoudi, Samantha M. Barnada, Cheng Huang, Kamran Naghipoor, et al. 2023.</w:t>
      </w:r>
      <w:r>
        <w:t xml:space="preserve"> </w:t>
      </w:r>
      <w:r>
        <w:t xml:space="preserve">“Whole Transcriptome-Based Skin Virome Profiling in Typical Epidermodysplasia Verruciformis Reveals Alpha-, Beta-, and Gamma-HPV Infections.”</w:t>
      </w:r>
      <w:r>
        <w:t xml:space="preserve"> </w:t>
      </w:r>
      <w:r>
        <w:rPr>
          <w:i/>
          <w:iCs/>
        </w:rPr>
        <w:t xml:space="preserve">JCI Insight</w:t>
      </w:r>
      <w:r>
        <w:t xml:space="preserve"> </w:t>
      </w:r>
      <w:r>
        <w:t xml:space="preserve">8 (5): e162558.</w:t>
      </w:r>
      <w:r>
        <w:t xml:space="preserve"> </w:t>
      </w:r>
      <w:hyperlink r:id="rId103">
        <w:r>
          <w:rPr>
            <w:rStyle w:val="Hyperlink"/>
          </w:rPr>
          <w:t xml:space="preserve">https://doi.org/10.1172/jci.insight.162558</w:t>
        </w:r>
      </w:hyperlink>
      <w:r>
        <w:t xml:space="preserve">.</w:t>
      </w:r>
    </w:p>
    <w:bookmarkEnd w:id="104"/>
    <w:bookmarkStart w:id="105"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03">
        <w:r>
          <w:rPr>
            <w:rStyle w:val="Hyperlink"/>
          </w:rPr>
          <w:t xml:space="preserve">https://doi.org/10.1172/jci.insight.162558</w:t>
        </w:r>
      </w:hyperlink>
      <w:r>
        <w:t xml:space="preserve">.</w:t>
      </w:r>
    </w:p>
    <w:bookmarkEnd w:id="105"/>
    <w:bookmarkStart w:id="107"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06">
        <w:r>
          <w:rPr>
            <w:rStyle w:val="Hyperlink"/>
          </w:rPr>
          <w:t xml:space="preserve">https://doi.org/10.1371/journal.pone.0163962</w:t>
        </w:r>
      </w:hyperlink>
      <w:r>
        <w:t xml:space="preserve">.</w:t>
      </w:r>
    </w:p>
    <w:bookmarkEnd w:id="107"/>
    <w:bookmarkStart w:id="109"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08">
        <w:r>
          <w:rPr>
            <w:rStyle w:val="Hyperlink"/>
          </w:rPr>
          <w:t xml:space="preserve">https://doi.org/10.1038/s41586-019-1719-9</w:t>
        </w:r>
      </w:hyperlink>
      <w:r>
        <w:t xml:space="preserve">.</w:t>
      </w:r>
    </w:p>
    <w:bookmarkEnd w:id="109"/>
    <w:bookmarkStart w:id="11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10"/>
    <w:bookmarkStart w:id="11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11">
        <w:r>
          <w:rPr>
            <w:rStyle w:val="Hyperlink"/>
          </w:rPr>
          <w:t xml:space="preserve">https://doi.org/10.1093/nar/gkw879</w:t>
        </w:r>
      </w:hyperlink>
      <w:r>
        <w:t xml:space="preserve">.</w:t>
      </w:r>
    </w:p>
    <w:bookmarkEnd w:id="112"/>
    <w:bookmarkStart w:id="114"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13">
        <w:r>
          <w:rPr>
            <w:rStyle w:val="Hyperlink"/>
          </w:rPr>
          <w:t xml:space="preserve">https://doi.org/10.1371/journal.ppat.1006783</w:t>
        </w:r>
      </w:hyperlink>
      <w:r>
        <w:t xml:space="preserve">.</w:t>
      </w:r>
    </w:p>
    <w:bookmarkEnd w:id="114"/>
    <w:bookmarkStart w:id="115"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15"/>
    <w:bookmarkStart w:id="116"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16"/>
    <w:bookmarkStart w:id="118"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17">
        <w:r>
          <w:rPr>
            <w:rStyle w:val="Hyperlink"/>
          </w:rPr>
          <w:t xml:space="preserve">https://doi.org/10.1186/s13059-019-1891-0</w:t>
        </w:r>
      </w:hyperlink>
      <w:r>
        <w:t xml:space="preserve">.</w:t>
      </w:r>
    </w:p>
    <w:bookmarkEnd w:id="118"/>
    <w:bookmarkStart w:id="119"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19"/>
    <w:bookmarkEnd w:id="120"/>
    <w:bookmarkEnd w:id="121"/>
    <w:bookmarkStart w:id="136"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25" w:name="suppfig-depth"/>
          <w:p>
            <w:pPr>
              <w:pStyle w:val="Compact"/>
              <w:jc w:val="center"/>
            </w:pPr>
            <w:r>
              <w:drawing>
                <wp:inline>
                  <wp:extent cx="5943600" cy="3714749"/>
                  <wp:effectExtent b="0" l="0" r="0" t="0"/>
                  <wp:docPr descr="" title="" id="123" name="Picture"/>
                  <a:graphic>
                    <a:graphicData uri="http://schemas.openxmlformats.org/drawingml/2006/picture">
                      <pic:pic>
                        <pic:nvPicPr>
                          <pic:cNvPr descr="figureS1.png" id="124" name="Picture"/>
                          <pic:cNvPicPr>
                            <a:picLocks noChangeArrowheads="1" noChangeAspect="1"/>
                          </pic:cNvPicPr>
                        </pic:nvPicPr>
                        <pic:blipFill>
                          <a:blip r:embed="rId12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1</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tbl-types"/>
          <w:tbl>
            <w:tblPr>
              <w:tblStyle w:val="Table"/>
              <w:tblW w:type="pct" w:w="5000"/>
              <w:tblLayout w:type="fixed"/>
              <w:tblLook w:firstRow="1" w:lastRow="0" w:firstColumn="0" w:lastColumn="0" w:noHBand="0" w:noVBand="0" w:val="0020"/>
            </w:tblPr>
            <w:tblGrid>
              <w:gridCol w:w="451"/>
              <w:gridCol w:w="1303"/>
              <w:gridCol w:w="1353"/>
              <w:gridCol w:w="501"/>
              <w:gridCol w:w="1403"/>
              <w:gridCol w:w="902"/>
              <w:gridCol w:w="902"/>
              <w:gridCol w:w="802"/>
              <w:gridCol w:w="300"/>
            </w:tblGrid>
            <w:tr>
              <w:trPr>
                <w:tblHeader w:val="on"/>
              </w:trPr>
              <w:tc>
                <w:tcPr/>
                <w:p>
                  <w:pPr>
                    <w:pStyle w:val="Compact"/>
                    <w:jc w:val="left"/>
                    <w:jc w:val="center"/>
                  </w:pPr>
                  <w:r>
                    <w:t xml:space="preserve">HPV type</w:t>
                  </w:r>
                </w:p>
              </w:tc>
              <w:tc>
                <w:tcPr/>
                <w:p>
                  <w:pPr>
                    <w:pStyle w:val="Compact"/>
                    <w:jc w:val="right"/>
                    <w:jc w:val="center"/>
                  </w:pPr>
                  <w:r>
                    <w:t xml:space="preserve">Unselected skin (N=7,327)</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(N=442)</w:t>
                  </w:r>
                </w:p>
              </w:tc>
              <w:tc>
                <w:tcPr/>
                <w:p>
                  <w:pPr>
                    <w:pStyle w:val="Compact"/>
                    <w:jc w:val="right"/>
                    <w:jc w:val="center"/>
                  </w:pPr>
                  <w:r>
                    <w:t xml:space="preserve">Cell line (N=697)</w:t>
                  </w:r>
                </w:p>
              </w:tc>
              <w:tc>
                <w:tcPr/>
                <w:p>
                  <w:pPr>
                    <w:pStyle w:val="Compact"/>
                    <w:jc w:val="left"/>
                    <w:jc w:val="center"/>
                  </w:pPr>
                  <w:r>
                    <w:t xml:space="preserve">Other (N=2,747)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(0.31%)</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(0.79%)</w:t>
                  </w:r>
                </w:p>
              </w:tc>
              <w:tc>
                <w:tcPr/>
                <w:p>
                  <w:pPr>
                    <w:pStyle w:val="Compact"/>
                    <w:jc w:val="right"/>
                    <w:jc w:val="center"/>
                  </w:pPr>
                  <w:r>
                    <w:t xml:space="preserve">24 (3.5%)</w:t>
                  </w:r>
                </w:p>
              </w:tc>
              <w:tc>
                <w:tcPr/>
                <w:p>
                  <w:pPr>
                    <w:pStyle w:val="Compact"/>
                    <w:jc w:val="left"/>
                    <w:jc w:val="center"/>
                  </w:pPr>
                  <w:r>
                    <w:t xml:space="preserve">1 (0.05%)</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(0.24%)</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1 (0.05%)</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 (0.13%)</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S5</w:t>
              </w:r>
            </w:hyperlink>
            <w:r>
              <w:t xml:space="preserve">.</w:t>
            </w:r>
            <w:r>
              <w:t xml:space="preserve"> </w:t>
            </w:r>
            <w:hyperlink w:anchor="suppfig-genus">
              <w:r>
                <w:rPr>
                  <w:rStyle w:val="Hyperlink"/>
                </w:rPr>
                <w:t xml:space="preserve">Figure S2</w:t>
              </w:r>
            </w:hyperlink>
            <w:r>
              <w:t xml:space="preserve"> </w:t>
            </w:r>
            <w:r>
              <w:t xml:space="preserve">summarises this table, and</w:t>
            </w:r>
            <w:r>
              <w:t xml:space="preserve"> </w:t>
            </w:r>
            <w:hyperlink w:anchor="supptbl-trace">
              <w:r>
                <w:rPr>
                  <w:rStyle w:val="Hyperlink"/>
                </w:rPr>
                <w:t xml:space="preserve">Table S5</w:t>
              </w:r>
            </w:hyperlink>
            <w:r>
              <w:t xml:space="preserve">, at the level of HPV genus.</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supptbl-productive"/>
          <w:tbl>
            <w:tblPr>
              <w:tblStyle w:val="Table"/>
              <w:tblW w:type="pct" w:w="5000"/>
              <w:tblLayout w:type="fixed"/>
              <w:tblLook w:firstRow="1" w:lastRow="0" w:firstColumn="0" w:lastColumn="0" w:noHBand="0" w:noVBand="0" w:val="0020"/>
            </w:tblPr>
            <w:tblGrid>
              <w:gridCol w:w="1067"/>
              <w:gridCol w:w="2313"/>
              <w:gridCol w:w="1423"/>
              <w:gridCol w:w="1512"/>
              <w:gridCol w:w="800"/>
              <w:gridCol w:w="80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Other (carcinoma; CIN)</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Other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 CIN)</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 CIN)</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w:t>
            </w:r>
            <w:r>
              <w:t xml:space="preserve"> </w:t>
            </w:r>
            <w:r>
              <w:t xml:space="preserve">“other-tissue”</w:t>
            </w:r>
            <w:r>
              <w:t xml:space="preserve"> </w:t>
            </w:r>
            <w:r>
              <w:t xml:space="preserve">co-infections (ERR2274877, ERR1971044)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1</w:t>
              </w:r>
            </w:hyperlink>
            <w:r>
              <w:t xml:space="preserve">).</w:t>
            </w:r>
          </w:p>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8,296 (3.3×10⁻⁹⁶)</w:t>
                  </w:r>
                </w:p>
              </w:tc>
              <w:tc>
                <w:tcPr/>
                <w:p>
                  <w:pPr>
                    <w:pStyle w:val="Compact"/>
                    <w:jc w:val="left"/>
                    <w:jc w:val="center"/>
                  </w:pPr>
                  <w:r>
                    <w:t xml:space="preserve">6,709 [2,330, 23,011]</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10 (4.1×10⁻⁵)</w:t>
                  </w:r>
                </w:p>
              </w:tc>
              <w:tc>
                <w:tcPr/>
                <w:p>
                  <w:pPr>
                    <w:pStyle w:val="Compact"/>
                    <w:jc w:val="left"/>
                    <w:jc w:val="center"/>
                  </w:pPr>
                  <w:r>
                    <w:t xml:space="preserve">8.7 [2.9, 26]</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1.4 (0.59)</w:t>
                  </w:r>
                </w:p>
              </w:tc>
              <w:tc>
                <w:tcPr/>
                <w:p>
                  <w:pPr>
                    <w:pStyle w:val="Compact"/>
                    <w:jc w:val="left"/>
                    <w:jc w:val="center"/>
                  </w:pPr>
                  <w:r>
                    <w:t xml:space="preserve">1.5 [0.5, 5.1]</w:t>
                  </w:r>
                </w:p>
              </w:tc>
              <w:tc>
                <w:tcPr/>
                <w:p>
                  <w:pPr>
                    <w:pStyle w:val="Compact"/>
                    <w:jc w:val="right"/>
                    <w:jc w:val="center"/>
                  </w:pPr>
                  <w:r>
                    <w:t xml:space="preserve">0.744</w:t>
                  </w:r>
                </w:p>
              </w:tc>
            </w:tr>
            <w:tr>
              <w:tc>
                <w:tcPr/>
                <w:p>
                  <w:pPr>
                    <w:pStyle w:val="Compact"/>
                    <w:jc w:val="left"/>
                    <w:jc w:val="center"/>
                  </w:pPr>
                  <w:r>
                    <w:t xml:space="preserve">Sequencing depth within neoplasia, floor (M2)</w:t>
                  </w:r>
                </w:p>
              </w:tc>
              <w:tc>
                <w:tcPr/>
                <w:p>
                  <w:pPr>
                    <w:pStyle w:val="Compact"/>
                    <w:jc w:val="left"/>
                    <w:jc w:val="center"/>
                  </w:pPr>
                  <w:r>
                    <w:t xml:space="preserve">1.7 (0.68)</w:t>
                  </w:r>
                </w:p>
              </w:tc>
              <w:tc>
                <w:tcPr/>
                <w:p>
                  <w:pPr>
                    <w:pStyle w:val="Compact"/>
                    <w:jc w:val="left"/>
                    <w:jc w:val="center"/>
                  </w:pPr>
                  <w:r>
                    <w:t xml:space="preserve">1.8 [0.2, 21]</w:t>
                  </w:r>
                </w:p>
              </w:tc>
              <w:tc>
                <w:tcPr/>
                <w:p>
                  <w:pPr>
                    <w:pStyle w:val="Compact"/>
                    <w:jc w:val="right"/>
                    <w:jc w:val="center"/>
                  </w:pPr>
                  <w:r>
                    <w:t xml:space="preserve">0.698</w:t>
                  </w:r>
                </w:p>
              </w:tc>
            </w:tr>
            <w:tr>
              <w:tc>
                <w:tcPr/>
                <w:p>
                  <w:pPr>
                    <w:pStyle w:val="Compact"/>
                    <w:jc w:val="left"/>
                    <w:jc w:val="center"/>
                  </w:pPr>
                  <w:r>
                    <w:t xml:space="preserve">Neoplasia vs unselected skin, any-HPV / trace (M2)</w:t>
                  </w:r>
                </w:p>
              </w:tc>
              <w:tc>
                <w:tcPr/>
                <w:p>
                  <w:pPr>
                    <w:pStyle w:val="Compact"/>
                    <w:jc w:val="left"/>
                    <w:jc w:val="center"/>
                  </w:pPr>
                  <w:r>
                    <w:t xml:space="preserve">1.7 (3.3×10⁻⁷)</w:t>
                  </w:r>
                </w:p>
              </w:tc>
              <w:tc>
                <w:tcPr/>
                <w:p>
                  <w:pPr>
                    <w:pStyle w:val="Compact"/>
                    <w:jc w:val="left"/>
                    <w:jc w:val="center"/>
                  </w:pPr>
                  <w:r>
                    <w:t xml:space="preserve">1.7 [1.4, 2.1]</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1</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10,715 [3,250, 46,581], confirming robustness). Sequencing depth is modelled per 10-fold (log₁₀) change in library size.</w:t>
            </w:r>
          </w:p>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Other</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with cervical/CIN or unspecified-site diagnoses, and all exceed the control-calibrated detection floor (13.2 RPM), so they make up 3 of the 6 above-floor detections in the whole tier. Excluding them halves cutaneous-neoplasia floor-level detection, from 1.4% to 0.7% (versus unselected skin: OR 5.3,</w:t>
            </w:r>
            <w:r>
              <w:t xml:space="preserve"> </w:t>
            </w:r>
            <w:r>
              <w:rPr>
                <w:i/>
                <w:iCs/>
              </w:rPr>
              <w:t xml:space="preserve">P</w:t>
            </w:r>
            <w:r>
              <w:t xml:space="preserve"> </w:t>
            </w:r>
            <w:r>
              <w:t xml:space="preserve">= 0.018, down from OR 10),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w:t>
            </w:r>
          </w:p>
          <w:bookmarkEnd w:id="1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supptbl-trace"/>
          <w:tbl>
            <w:tblPr>
              <w:tblStyle w:val="Table"/>
              <w:tblW w:type="pct" w:w="5000"/>
              <w:tblLayout w:type="fixed"/>
              <w:tblLook w:firstRow="1" w:lastRow="0" w:firstColumn="0" w:lastColumn="0" w:noHBand="0" w:noVBand="0" w:val="0020"/>
            </w:tblPr>
            <w:tblGrid>
              <w:gridCol w:w="735"/>
              <w:gridCol w:w="339"/>
              <w:gridCol w:w="1470"/>
              <w:gridCol w:w="1018"/>
              <w:gridCol w:w="1527"/>
              <w:gridCol w:w="565"/>
              <w:gridCol w:w="905"/>
              <w:gridCol w:w="1018"/>
              <w:gridCol w:w="339"/>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(N=7,327)</w:t>
                  </w:r>
                </w:p>
              </w:tc>
              <w:tc>
                <w:tcPr/>
                <w:p>
                  <w:pPr>
                    <w:pStyle w:val="Compact"/>
                    <w:jc w:val="right"/>
                    <w:jc w:val="center"/>
                  </w:pPr>
                  <w:r>
                    <w:t xml:space="preserve">Neoplasia (N=442)</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Other (N=2,747)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1 (0.02%)</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 (0.16%)</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11 (0.16%)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9 (1.4%)</w:t>
                  </w:r>
                </w:p>
              </w:tc>
              <w:tc>
                <w:tcPr/>
                <w:p>
                  <w:pPr>
                    <w:pStyle w:val="Compact"/>
                    <w:jc w:val="left"/>
                    <w:jc w:val="center"/>
                  </w:pPr>
                  <w:r>
                    <w:t xml:space="preserve">21</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(0.60%)</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(0.09%)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S5: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196, Neoplasia 17, Productive controls 5, EV 1, Other 71, Cell line 35. Healthy skin is dominated by cutaneous beta/gamma/nu types (38 of 55 resolved skin calls), whereas the mucosal types HPV16 and HPV18 concentrate in cell-line and other material (HPV16 trace prevalence 2.7% [1.6–4.0] in cell lines versus 0.02% [0.00–0.06]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suppfig-genus">
              <w:r>
                <w:rPr>
                  <w:rStyle w:val="Hyperlink"/>
                </w:rPr>
                <w:t xml:space="preserve">Figure S2</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suppfig-genus"/>
          <w:p>
            <w:pPr>
              <w:jc w:val="center"/>
            </w:pPr>
            <w:r>
              <w:drawing>
                <wp:inline>
                  <wp:extent cx="5943600" cy="3622765"/>
                  <wp:effectExtent b="0" l="0" r="0" t="0"/>
                  <wp:docPr descr="" title="" id="132" name="Picture"/>
                  <a:graphic>
                    <a:graphicData uri="http://schemas.openxmlformats.org/drawingml/2006/picture">
                      <pic:pic>
                        <pic:nvPicPr>
                          <pic:cNvPr descr="figureS2.png" id="133" name="Picture"/>
                          <pic:cNvPicPr>
                            <a:picLocks noChangeArrowheads="1" noChangeAspect="1"/>
                          </pic:cNvPicPr>
                        </pic:nvPicPr>
                        <pic:blipFill>
                          <a:blip r:embed="rId13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r>
              <w:t xml:space="preserve">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S5</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w:t>
            </w:r>
          </w:p>
          <w:p>
            <w:pPr>
              <w:jc w:val="center"/>
            </w:pPr>
            <w:pPr>
              <w:jc w:val="start"/>
              <w:spacing w:before="200"/>
              <w:pStyle w:val="ImageCaption"/>
            </w:pPr>
            <w:r>
              <w:t xml:space="preserve">Figure S2: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which is the genus the syndrome is defined by. Peri-lesional mucosa is purely alpha (15/15), carrying its adjacent condylomata’s types and nothing cutaneous. Cell lines are alpha (13% [10–15]), the integrated HPV16/HPV18 contamination signature. Against these, unselected skin is flat and low: alpha, beta and gamma occur at indistinguishable rates near 0.27% [0.16–0.40], joined by the only nu detections in the study (2/7327 libraries, HPV41), the profile of a sparse commensal reservoir rather than of any one disease. Cutaneous neoplasia is the one tissue tier in which beta exceeds alpha (2.6% [1.3–4.3] versus 1.9% [0.86–3.4]), consistent with a beta-HPV footprint, though at prevalences one to two orders of magnitude below the productive tiers. The mu genus (HPV1, the classic plantar-wart type) was detected in no tier.</w:t>
            </w:r>
          </w:p>
          <w:bookmarkEnd w:id="1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r>
              <w:t xml:space="preserve">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Cross-mapping between similar types therefore cannot manufacture a co-infection call; each type in a row is supported by reads that map to it and to nothing else.</w:t>
            </w:r>
          </w:p>
          <w:p>
            <w:pPr>
              <w:jc w:val="center"/>
            </w:pPr>
            <w:r>
              <w:t xml:space="preserve">Three cautions govern how far this table can be read. First,</w:t>
            </w:r>
            <w:r>
              <w:t xml:space="preserve"> </w:t>
            </w:r>
            <w:r>
              <w:rPr>
                <w:b/>
                <w:bCs/>
              </w:rPr>
              <w:t xml:space="preserve">the rows are not independent observations</w:t>
            </w:r>
            <w:r>
              <w:t xml:space="preserve">. 25 of the 38 come from the paired studies SRP314958 (RNA-seq) and SRP314961 (MeRIP-seq), which are the same 9 donors, five condyloma lesions (CA_1 to CA_5) and four matched peri-lesional specimens (CON_1 to CON_4), each sequenced as an RNA-seq library plus a MeRIP input and IP fraction. Rows sharing a donor carry near-identical read profiles. Second,</w:t>
            </w:r>
            <w:r>
              <w:t xml:space="preserve"> </w:t>
            </w:r>
            <w:r>
              <w:rPr>
                <w:b/>
                <w:bCs/>
              </w:rPr>
              <w:t xml:space="preserve">the secondary types often sit close to the threshold</w:t>
            </w:r>
            <w:r>
              <w:t xml:space="preserve">: across all non-dominant calls the median depth is 6.8× and 40% fall below 5×, so which type is called second can depend on the library fraction. In donor CA_2 the RNA-seq and MeRIP input fractions call HPV6 + HPV11 while the IP fraction of the same specimen calls HPV6 + HPV42. Third, the dominant type in a co-infected library typically exceeds its partner by two to three orders of magnitude in depth, so most rows describe one established infection with a minor second type rather than two comparable ones.</w:t>
            </w:r>
          </w:p>
          <w:p>
            <w:pPr>
              <w:jc w:val="center"/>
            </w:pPr>
            <w:r>
              <w:t xml:space="preserve">Where both partners are unambiguous the pairings are biologically coherent. Two</w:t>
            </w:r>
            <w:r>
              <w:t xml:space="preserve"> </w:t>
            </w:r>
            <w:r>
              <w:t xml:space="preserve">“other-tissue”</w:t>
            </w:r>
            <w:r>
              <w:t xml:space="preserve"> </w:t>
            </w:r>
            <w:r>
              <w:t xml:space="preserve">carcinoma and actinic-keratosis libraries (ERR2274877, ERR1971044) carry the gamma-types HPV96 and HPV182 together at 98–99% breadth and 61–245× depth. An EV biopsy (SRR21205038) carries the beta-types HPV20 and HPV9 at 18,558× and 736×. Both are two full genomes in one library, not a genome plus a fragment.</w:t>
            </w:r>
          </w:p>
          <w:p>
            <w:pPr>
              <w:jc w:val="center"/>
            </w:pPr>
            <w:r>
              <w:t xml:space="preserve">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Applying a stricter bar to both partners (breadth ≥ 0.70 and depth ≥ 5× for each) leaves 9 libraries from 3 donors: one condyloma lesion (CA_1) and two peri-lesional specimens (CON_1, CON_3).</w:t>
            </w:r>
          </w:p>
          <w:p>
            <w:pPr>
              <w:jc w:val="center"/>
            </w:pPr>
            <w:pPr>
              <w:jc w:val="start"/>
              <w:spacing w:before="200"/>
              <w:pStyle w:val="ImageCaption"/>
            </w:pPr>
            <w:r>
              <w:t xml:space="preserve">Table S6: The dominance relation between the two types is asymmetric, but not cleanly so. HPV11 is the deeper type in all five condyloma lesions, exceeding HPV42 48- to 4,100-fold in the three with a strong HPV11 signal (CA_1, CA_4, CA_5) and 2- to 4-fold in the other two. In peri-lesional mucosa the picture splits: in CON_1 and CON_3, the two specimens where HPV42 is unambiguous, HPV42 is the deeper type (955× versus 138×, and 3,816× versus 9×, i.e. 7-fold and 410-fold), whereas in CON_2, CON_4 and CON_5, where HPV42 barely clears the assignment threshold, HPV11 remains the deeper type. Whether this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35"/>
        </w:tc>
      </w:tr>
    </w:tbl>
    <w:bookmarkEnd w:id="136"/>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22" Target="media/rId122.png" /><Relationship Type="http://schemas.openxmlformats.org/officeDocument/2006/relationships/image" Id="rId131" Target="media/rId131.png" /><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8"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1"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7" Target="https://doi.org/10.1186/s13059-019-1891-0" TargetMode="External" /><Relationship Type="http://schemas.openxmlformats.org/officeDocument/2006/relationships/hyperlink" Id="rId106" Target="https://doi.org/10.1371/journal.pone.0163962" TargetMode="External" /><Relationship Type="http://schemas.openxmlformats.org/officeDocument/2006/relationships/hyperlink" Id="rId113"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8"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1"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7" Target="https://doi.org/10.1186/s13059-019-1891-0" TargetMode="External" /><Relationship Type="http://schemas.openxmlformats.org/officeDocument/2006/relationships/hyperlink" Id="rId106" Target="https://doi.org/10.1371/journal.pone.0163962" TargetMode="External" /><Relationship Type="http://schemas.openxmlformats.org/officeDocument/2006/relationships/hyperlink" Id="rId113"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2026-07-10T15:03:15Z</dcterms:created>
  <dcterms:modified xsi:type="dcterms:W3CDTF">2026-07-10T15:03:15Z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