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0"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4"/>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fig-types"/>
          <w:p>
            <w:pPr>
              <w:pStyle w:val="Compact"/>
              <w:jc w:val="center"/>
            </w:pPr>
            <w:r>
              <w:drawing>
                <wp:inline>
                  <wp:extent cx="5943600" cy="2729653"/>
                  <wp:effectExtent b="0" l="0" r="0" t="0"/>
                  <wp:docPr descr="" title="" id="219" name="Picture"/>
                  <a:graphic>
                    <a:graphicData uri="http://schemas.openxmlformats.org/drawingml/2006/picture">
                      <pic:pic>
                        <pic:nvPicPr>
                          <pic:cNvPr descr="figureS2.png" id="220" name="Picture"/>
                          <pic:cNvPicPr>
                            <a:picLocks noChangeArrowheads="1" noChangeAspect="1"/>
                          </pic:cNvPicPr>
                        </pic:nvPicPr>
                        <pic:blipFill>
                          <a:blip r:embed="rId218"/>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8" Target="media/rId218.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2026-08-24T10:33:17Z</dcterms:created>
  <dcterms:modified xsi:type="dcterms:W3CDTF">2026-08-24T10:33:17Z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