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Schell, et al. 2019)</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Viarisio, et al. 2019)</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during early cancer development but becomes dispensable once the tumor forms</w:t>
      </w:r>
      <w:r>
        <w:t xml:space="preserve"> </w:t>
      </w:r>
      <w:r>
        <w:t xml:space="preserve">(Viarisio et al. 2018; Dorfer et al. 2021)</w:t>
      </w:r>
      <w:r>
        <w:t xml:space="preserve">. Alternatively, the protective-immunity theory suggests T-cell immunity to regular papillomaviruses actively suppresses skin cancer, meaning viral loss reflects immune selection</w:t>
      </w:r>
      <w:r>
        <w:t xml:space="preserve"> </w:t>
      </w:r>
      <w:r>
        <w:t xml:space="preserve">(Strickley et al. 2019, 2021; Lambert et al. 2021)</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Hultin, and Dillner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(Leiendecker et al. 2023; Bhargava et al. 2025)</w:t>
      </w:r>
      <w:r>
        <w:t xml:space="preserve">. However, the method is booby-trapped. HeLa-derived HPV18 contaminates archived data extensively</w:t>
      </w:r>
      <w:r>
        <w:t xml:space="preserve"> </w:t>
      </w:r>
      <w:r>
        <w:t xml:space="preserve">(Cantalupo, Katz, and Pipas 2015; Kazemian et al. 2015; Adey et al. 2013)</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tiers run the complete viral program, capsid genes included (L1 in 90% of productive controls, 95.5% of EV). Skin and neoplasia are not a truncated program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 the detection-tier trace catalog,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 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 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99381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2026-08-24T13:43:32Z</dcterms:created>
  <dcterms:modified xsi:type="dcterms:W3CDTF">2026-08-24T13:43:32Z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