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HPV inimese nahas ja nahakasvajates — tulemuste kokkuvõte</w:t>
      </w:r>
    </w:p>
    <w:p>
      <w:pPr>
        <w:pStyle w:val="Subtitle"/>
      </w:pPr>
      <w:r>
        <w:t xml:space="preserve">Avalike RNA-seq andmete taasanalüüs · sisend kaasautoritelt</w:t>
      </w:r>
    </w:p>
    <w:p>
      <w:pPr>
        <w:pStyle w:val="Date"/>
      </w:pPr>
      <w:r>
        <w:t xml:space="preserve">5. juuli 2026</w:t>
      </w:r>
    </w:p>
    <w:bookmarkStart w:id="20" w:name="taust-ja-eesmärk"/>
    <w:p>
      <w:pPr>
        <w:pStyle w:val="Heading2"/>
      </w:pPr>
      <w:r>
        <w:t xml:space="preserve">Taust ja eesmärk</w:t>
      </w:r>
    </w:p>
    <w:p>
      <w:pPr>
        <w:pStyle w:val="FirstParagraph"/>
      </w:pPr>
      <w:r>
        <w:t xml:space="preserve">Enamik inimese papilloomiviirustest (HPV) on naha beeta- ja gammatüüpi viirused, mis püsivad nahal peamiselt kommensaalse, subkliinilise reservuaarina. Nende roll naha lamerakk-kartsinoomis (cSCC) on vaieldav —</w:t>
      </w:r>
      <w:r>
        <w:t xml:space="preserve"> </w:t>
      </w:r>
      <w:r>
        <w:t xml:space="preserve">“hit-and-run”</w:t>
      </w:r>
      <w:r>
        <w:t xml:space="preserve"> </w:t>
      </w:r>
      <w:r>
        <w:t xml:space="preserve">onkogeneesimudeli ja kaitsva immuunsuse mudeli vahel. Analüüsisime süstemaatiliselt avalikke inimese RNA-seq andmeid (nahk ja seotud koed), et kirjeldada, millised HPV tüübid nahas esinevad, kui sageli ja kas nad on transkriptsiooniliselt aktiivsed (produktiivsed).</w:t>
      </w:r>
    </w:p>
    <w:bookmarkEnd w:id="20"/>
    <w:bookmarkStart w:id="21" w:name="meetod"/>
    <w:p>
      <w:pPr>
        <w:pStyle w:val="Heading2"/>
      </w:pPr>
      <w:r>
        <w:t xml:space="preserve">Meetod</w:t>
      </w:r>
    </w:p>
    <w:p>
      <w:pPr>
        <w:pStyle w:val="FirstParagraph"/>
      </w:pPr>
      <w:r>
        <w:t xml:space="preserve">Ühtne töövoog skriinis iga teegi papilloomiviiruse lugemite suhtes (Kraken2, inimese genoom + HPV referentspaneel), tüpiseeris positiivsed kogu paneeli vastu (STAR + katvuse/sügavuse künnised) ja klassifitseeris infektsiooni produktiivseks hiliste (L1, peamise kapsiidivalgu) transkriptide alusel. Rakuliinid ja muundatud materjal märgistati eraldi; iga teek skooriti sekveneerimissügavusest sõltumatult (lugemid miljoni kohta, RPM). Kokku skriiniti</w:t>
      </w:r>
      <w:r>
        <w:t xml:space="preserve"> </w:t>
      </w:r>
      <w:r>
        <w:rPr>
          <w:b/>
          <w:bCs/>
        </w:rPr>
        <w:t xml:space="preserve">11 556 teeki</w:t>
      </w:r>
      <w:r>
        <w:t xml:space="preserve"> </w:t>
      </w:r>
      <w:r>
        <w:t xml:space="preserve">(HPV-positiivseid 2,54%).</w:t>
      </w:r>
    </w:p>
    <w:bookmarkEnd w:id="21"/>
    <w:bookmarkStart w:id="22" w:name="X289271a8aa3f929b5cb2b354f86847864114950"/>
    <w:p>
      <w:pPr>
        <w:pStyle w:val="Heading2"/>
      </w:pPr>
      <w:r>
        <w:t xml:space="preserve">Tulemus 1 — signaal on koondunud mitte-primaarsesse materjali (kontaminatsioon)</w:t>
      </w:r>
    </w:p>
    <w:p>
      <w:pPr>
        <w:pStyle w:val="FirstParagraph"/>
      </w:pPr>
      <w:r>
        <w:t xml:space="preserve">HPV-positiivsus oli kliinilises primaarkoes vaid</w:t>
      </w:r>
      <w:r>
        <w:t xml:space="preserve"> </w:t>
      </w:r>
      <w:r>
        <w:rPr>
          <w:b/>
          <w:bCs/>
        </w:rPr>
        <w:t xml:space="preserve">2,15%</w:t>
      </w:r>
      <w:r>
        <w:t xml:space="preserve">, kuid muundatud teekides</w:t>
      </w:r>
      <w:r>
        <w:t xml:space="preserve"> </w:t>
      </w:r>
      <w:r>
        <w:rPr>
          <w:b/>
          <w:bCs/>
        </w:rPr>
        <w:t xml:space="preserve">11,1%</w:t>
      </w:r>
      <w:r>
        <w:t xml:space="preserve"> </w:t>
      </w:r>
      <w:r>
        <w:t xml:space="preserve">(šansisuhe 5,7) ja rakuliinides</w:t>
      </w:r>
      <w:r>
        <w:t xml:space="preserve"> </w:t>
      </w:r>
      <w:r>
        <w:rPr>
          <w:b/>
          <w:bCs/>
        </w:rPr>
        <w:t xml:space="preserve">9,0%</w:t>
      </w:r>
      <w:r>
        <w:t xml:space="preserve"> </w:t>
      </w:r>
      <w:r>
        <w:t xml:space="preserve">(šansisuhe 4,5) — 4–5 korda kõrgem (p = 1,4×10⁻¹⁸). Need positiivsed olid valdavalt integreeritud</w:t>
      </w:r>
      <w:r>
        <w:t xml:space="preserve"> </w:t>
      </w:r>
      <w:r>
        <w:rPr>
          <w:b/>
          <w:bCs/>
        </w:rPr>
        <w:t xml:space="preserve">HPV16/HPV18</w:t>
      </w:r>
      <w:r>
        <w:t xml:space="preserve"> </w:t>
      </w:r>
      <w:r>
        <w:t xml:space="preserve">— HeLa-tüüpi rakuliinide ja nende hästi dokumenteeritud arhiivikontaminatsiooni allkiri. Avalikes transkriptoomides nähtav</w:t>
      </w:r>
      <w:r>
        <w:t xml:space="preserve"> </w:t>
      </w:r>
      <w:r>
        <w:t xml:space="preserve">“HPV rohkus”</w:t>
      </w:r>
      <w:r>
        <w:t xml:space="preserve"> </w:t>
      </w:r>
      <w:r>
        <w:t xml:space="preserve">on seega suuresti laboriartefakt, mis tuleb enne igasugust levimushinnangut eraldada.</w:t>
      </w:r>
    </w:p>
    <w:bookmarkEnd w:id="22"/>
    <w:bookmarkStart w:id="23" w:name="X13d259606dbb9e48c35f5ad55b5d57e7ceb2651"/>
    <w:p>
      <w:pPr>
        <w:pStyle w:val="Heading2"/>
      </w:pPr>
      <w:r>
        <w:t xml:space="preserve">Tulemus 2 — nahakasvajates on HPV vaid jäljetasemel, mitte produktiivne (põhitulemus)</w:t>
      </w:r>
    </w:p>
    <w:p>
      <w:pPr>
        <w:pStyle w:val="FirstParagraph"/>
      </w:pPr>
      <w:r>
        <w:t xml:space="preserve">cSCC/aktiinilise keratoosi (neoplaasia, n = 442) teekides leidus HPV-lugemeid pooltes proovides (~50%), kuid produktiivsel tasemel vaid</w:t>
      </w:r>
      <w:r>
        <w:t xml:space="preserve"> </w:t>
      </w:r>
      <w:r>
        <w:rPr>
          <w:b/>
          <w:bCs/>
        </w:rPr>
        <w:t xml:space="preserve">1,4%-l</w:t>
      </w:r>
      <w:r>
        <w:t xml:space="preserve"> </w:t>
      </w:r>
      <w:r>
        <w:t xml:space="preserve">(mediaan ~0,005 RPM) — hoolimata sellest, et see oli</w:t>
      </w:r>
      <w:r>
        <w:t xml:space="preserve"> </w:t>
      </w:r>
      <w:r>
        <w:rPr>
          <w:b/>
          <w:bCs/>
        </w:rPr>
        <w:t xml:space="preserve">kõige sügavamalt sekveneeritud</w:t>
      </w:r>
      <w:r>
        <w:t xml:space="preserve"> </w:t>
      </w:r>
      <w:r>
        <w:t xml:space="preserve">kude. Sügavuse järgi sobitatud võrdlus on otsustav: erinevus produktiivsete kontrollide (tüükad/EV: 100% avastatud, mediaan ~5400 RPM) ja naha vahel püsib (Fisheri šansisuhe</w:t>
      </w:r>
      <w:r>
        <w:t xml:space="preserve"> </w:t>
      </w:r>
      <w:r>
        <w:rPr>
          <w:b/>
          <w:bCs/>
        </w:rPr>
        <w:t xml:space="preserve">2515</w:t>
      </w:r>
      <w:r>
        <w:t xml:space="preserve">, p = 5×10⁻⁸¹), samas kui neoplaasia</w:t>
      </w:r>
      <w:r>
        <w:t xml:space="preserve"> </w:t>
      </w:r>
      <w:r>
        <w:rPr>
          <w:b/>
          <w:bCs/>
        </w:rPr>
        <w:t xml:space="preserve">ei erine tervest nahast</w:t>
      </w:r>
      <w:r>
        <w:t xml:space="preserve"> </w:t>
      </w:r>
      <w:r>
        <w:t xml:space="preserve">produktiivsel tasemel (sügavuse suhtes korrigeeritult mitteoluline, p = 0,14). Beeta-HPV cSCC-s on seega</w:t>
      </w:r>
      <w:r>
        <w:t xml:space="preserve"> </w:t>
      </w:r>
      <w:r>
        <w:rPr>
          <w:b/>
          <w:bCs/>
        </w:rPr>
        <w:t xml:space="preserve">jäljetranskriptsioon</w:t>
      </w:r>
      <w:r>
        <w:t xml:space="preserve">, kooskõlas hit-and-run / UV-kofaktori mudeliga, mitte tüügaste produktiivse koormusega. See laiendab varasemat leidu (Arron 2011) umbes kaks suurusjärku suuremal skaalal ja sügavuse suhtes kontrollituna.</w:t>
      </w:r>
    </w:p>
    <w:bookmarkEnd w:id="23"/>
    <w:bookmarkStart w:id="24" w:name="Xaff4263bc65cb3537a67ade1130828e345a6a82"/>
    <w:p>
      <w:pPr>
        <w:pStyle w:val="Heading2"/>
      </w:pPr>
      <w:r>
        <w:t xml:space="preserve">Tulemus 3 — produktiivne infektsioon on tüügaste ja EV omadus</w:t>
      </w:r>
    </w:p>
    <w:p>
      <w:pPr>
        <w:pStyle w:val="FirstParagraph"/>
      </w:pPr>
      <w:r>
        <w:t xml:space="preserve">Produktiivseid infektsioone (L1 ≥ 3 lugemit) leidus rikkalikult tüükastes ja epidermodysplasia verruciformis’es (</w:t>
      </w:r>
      <w:r>
        <w:rPr>
          <w:b/>
          <w:bCs/>
        </w:rPr>
        <w:t xml:space="preserve">64%</w:t>
      </w:r>
      <w:r>
        <w:t xml:space="preserve">) vs neoplaasias (</w:t>
      </w:r>
      <w:r>
        <w:rPr>
          <w:b/>
          <w:bCs/>
        </w:rPr>
        <w:t xml:space="preserve">32%</w:t>
      </w:r>
      <w:r>
        <w:t xml:space="preserve">; šansisuhe 3,8, p = 0,013). Siiski esines üksikuid ehtsaid, mitte-rakuliinist produktiivseid koeproove:</w:t>
      </w:r>
      <w:r>
        <w:t xml:space="preserve"> </w:t>
      </w:r>
      <w:r>
        <w:rPr>
          <w:b/>
          <w:bCs/>
        </w:rPr>
        <w:t xml:space="preserve">HPV12</w:t>
      </w:r>
      <w:r>
        <w:t xml:space="preserve"> </w:t>
      </w:r>
      <w:r>
        <w:t xml:space="preserve">cSCC-s (katvus 99,8%, L1 = 1803),</w:t>
      </w:r>
      <w:r>
        <w:t xml:space="preserve"> </w:t>
      </w:r>
      <w:r>
        <w:rPr>
          <w:b/>
          <w:bCs/>
        </w:rPr>
        <w:t xml:space="preserve">HPV96 + HPV182</w:t>
      </w:r>
      <w:r>
        <w:t xml:space="preserve"> </w:t>
      </w:r>
      <w:r>
        <w:t xml:space="preserve">koinfektsioon (aktiiniline keratoos/kartsinoom, katvus 98–99%) ja</w:t>
      </w:r>
      <w:r>
        <w:t xml:space="preserve"> </w:t>
      </w:r>
      <w:r>
        <w:rPr>
          <w:b/>
          <w:bCs/>
        </w:rPr>
        <w:t xml:space="preserve">HPV16</w:t>
      </w:r>
      <w:r>
        <w:t xml:space="preserve">. Populatsioonitasandi</w:t>
      </w:r>
      <w:r>
        <w:t xml:space="preserve"> </w:t>
      </w:r>
      <w:r>
        <w:t xml:space="preserve">“jälje”</w:t>
      </w:r>
      <w:r>
        <w:t xml:space="preserve">-järeldus kirjeldab cSCC/AK keskmist, mitte seda, et produktiivset naha-HPV haigust üldse ei esineks.</w:t>
      </w:r>
    </w:p>
    <w:bookmarkEnd w:id="24"/>
    <w:bookmarkStart w:id="25" w:name="robustsus"/>
    <w:p>
      <w:pPr>
        <w:pStyle w:val="Heading2"/>
      </w:pPr>
      <w:r>
        <w:t xml:space="preserve">Robustsus</w:t>
      </w:r>
    </w:p>
    <w:p>
      <w:pPr>
        <w:pStyle w:val="FirstParagraph"/>
      </w:pPr>
      <w:r>
        <w:t xml:space="preserve">Kõik kolm järeldust püsivad Bayesi logistilise regressiooni all nõrgalt informatiivsete prioorite (Normal(0; 2,5)) korral.</w:t>
      </w:r>
    </w:p>
    <w:bookmarkEnd w:id="25"/>
    <w:bookmarkStart w:id="26" w:name="järeldus"/>
    <w:p>
      <w:pPr>
        <w:pStyle w:val="Heading2"/>
      </w:pPr>
      <w:r>
        <w:t xml:space="preserve">Järeldus</w:t>
      </w:r>
    </w:p>
    <w:p>
      <w:pPr>
        <w:pStyle w:val="FirstParagraph"/>
      </w:pPr>
      <w:r>
        <w:t xml:space="preserve">Naha-HPV on</w:t>
      </w:r>
      <w:r>
        <w:t xml:space="preserve"> </w:t>
      </w:r>
      <w:r>
        <w:rPr>
          <w:b/>
          <w:bCs/>
        </w:rPr>
        <w:t xml:space="preserve">produktiivne tüükastes ja EV-s, kuid transkriptsiooniliselt vaikne tervel nahal ja kartsinoomis</w:t>
      </w:r>
      <w:r>
        <w:t xml:space="preserve">, kus ta esineb vaid jälje, mitteproduktiivse</w:t>
      </w:r>
      <w:r>
        <w:t xml:space="preserve"> </w:t>
      </w:r>
      <w:r>
        <w:t xml:space="preserve">“jalajäljena”</w:t>
      </w:r>
      <w:r>
        <w:t xml:space="preserve">. Seda fenomenoloogiat peavad seletama nii hit-and-run kui ka kaitsva immuunsuse mudel. Laiemalt pakub kontaminatsiooniteadlik, sügavus-normaliseeritud raamistik skaleeritava viisi avalike transkriptoomide</w:t>
      </w:r>
      <w:r>
        <w:t xml:space="preserve"> </w:t>
      </w:r>
      <w:r>
        <w:t xml:space="preserve">“äravisatud”</w:t>
      </w:r>
      <w:r>
        <w:t xml:space="preserve"> </w:t>
      </w:r>
      <w:r>
        <w:t xml:space="preserve">(mitte-inimese) fraktsiooni kaevandamiseks.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HPV inimese nahas ja nahakasvajates — tulemuste kokkuvõte</dc:title>
  <dc:creator/>
  <dc:language>et</dc:language>
  <cp:keywords/>
  <dcterms:created xsi:type="dcterms:W3CDTF">2026-07-05T11:29:50Z</dcterms:created>
  <dcterms:modified xsi:type="dcterms:W3CDTF">2026-07-05T11:29:50Z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5. juuli 2026</vt:lpwstr>
  </property>
  <property fmtid="{D5CDD505-2E9C-101B-9397-08002B2CF9AE}" pid="3" name="subtitle">
    <vt:lpwstr>Avalike RNA-seq andmete taasanalüüs · sisend kaasautoritelt</vt:lpwstr>
  </property>
</Properties>
</file>