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behave less like pathogens than like skin flora: acquired early, ubiquitous in healthy adults, and persisting as asymptomatic low-level infections</w:t>
      </w:r>
      <w:r>
        <w:t xml:space="preserve"> </w:t>
      </w:r>
      <w:r>
        <w:t xml:space="preserve">(Antonsson et al. 2000; Doorbar 2023)</w:t>
      </w:r>
      <w:r>
        <w:t xml:space="preserve">. At DNA level the reservoir is large and well mapped, with HPV in 61.3% of skin samples in shotgun metagenomics of healthy subjects</w:t>
      </w:r>
      <w:r>
        <w:t xml:space="preserve"> </w:t>
      </w:r>
      <w:r>
        <w:t xml:space="preserve">(Ma et al. 2014)</w:t>
      </w:r>
      <w:r>
        <w:t xml:space="preserve"> </w:t>
      </w:r>
      <w:r>
        <w:t xml:space="preserve">and beta-HPV in 92% of adults by skin swab</w:t>
      </w:r>
      <w:r>
        <w:t xml:space="preserve"> </w:t>
      </w:r>
      <w:r>
        <w:t xml:space="preserve">(Rollison, Schell, et al. 2019)</w:t>
      </w:r>
      <w:r>
        <w:t xml:space="preserve">, across a diversity extending to 396 types, 229 of them previously unknown</w:t>
      </w:r>
      <w:r>
        <w:t xml:space="preserve"> </w:t>
      </w:r>
      <w:r>
        <w:t xml:space="preserve">(Bzhalava et al. 2014)</w:t>
      </w:r>
      <w:r>
        <w:t xml:space="preserve">. What these figures cannot say is whether any of that material is transcribed.</w:t>
      </w:r>
    </w:p>
    <w:p>
      <w:pPr>
        <w:pStyle w:val="BodyText"/>
      </w:pPr>
      <w:r>
        <w:t xml:space="preserve">The question matters because beta-HPV is a suspected cofactor in cSCC, particularly in organ-transplant recipients</w:t>
      </w:r>
      <w:r>
        <w:t xml:space="preserve"> </w:t>
      </w:r>
      <w:r>
        <w:t xml:space="preserve">(Howley and Pfister 2015; Rollison, Viarisio, et al. 2019)</w:t>
      </w:r>
      <w:r>
        <w:t xml:space="preserve">. Three accounts of its role are live and mutually compatible with the same data. Under</w:t>
      </w:r>
      <w:r>
        <w:t xml:space="preserve"> </w:t>
      </w:r>
      <w:r>
        <w:t xml:space="preserve">“hit-and-run”</w:t>
      </w:r>
      <w:r>
        <w:t xml:space="preserve">, beta-HPV acts early with ultraviolet radiation and is dispensable once the tumour is established</w:t>
      </w:r>
      <w:r>
        <w:t xml:space="preserve"> </w:t>
      </w:r>
      <w:r>
        <w:t xml:space="preserve">(Viarisio et al. 2018; Dorfer et al. 2021)</w:t>
      </w:r>
      <w:r>
        <w:t xml:space="preserve">. Under the protective-immunity account, T-cell immunity to commensal papillomaviruses actively suppresses skin cancer, so viral loss reflects immune selection</w:t>
      </w:r>
      <w:r>
        <w:t xml:space="preserve"> </w:t>
      </w:r>
      <w:r>
        <w:t xml:space="preserve">(Strickley et al. 2019)</w:t>
      </w:r>
      <w:r>
        <w:t xml:space="preserve">; that claim drew a formal exchange in the same journal</w:t>
      </w:r>
      <w:r>
        <w:t xml:space="preserve"> </w:t>
      </w:r>
      <w:r>
        <w:t xml:space="preserve">(Lambert et al. 2021; Strickley et al. 2021)</w:t>
      </w:r>
      <w:r>
        <w:t xml:space="preserve">, and has since been extended to show papillomavirus colonization blocking mutant p53 clone expansion, with beta-HPV lost as those clones expand</w:t>
      </w:r>
      <w:r>
        <w:t xml:space="preserve"> </w:t>
      </w:r>
      <w:r>
        <w:t xml:space="preserve">(Son et al. 2025)</w:t>
      </w:r>
      <w:r>
        <w:t xml:space="preserve">. A third account needs neither premise: the beta-HPV genome represses its own expression through E8^E2, and immortalization of keratinocytes requires that repressor to be inactivated</w:t>
      </w:r>
      <w:r>
        <w:t xml:space="preserve"> </w:t>
      </w:r>
      <w:r>
        <w:t xml:space="preserve">(Rehm et al. 2022)</w:t>
      </w:r>
      <w:r>
        <w:t xml:space="preserve">, so quiescence may simply be the viral default. All three predict declining viral activity from healthy skin to carcinoma, which is why measuring that decline more precisely cannot separate them.</w:t>
      </w:r>
    </w:p>
    <w:p>
      <w:pPr>
        <w:pStyle w:val="BodyText"/>
      </w:pPr>
      <w:r>
        <w:t xml:space="preserve">Whether HPV is transcribed in cutaneous carcinoma has been asked directly, and the answers converge on no: in the original cSCC transcriptome study</w:t>
      </w:r>
      <w:r>
        <w:t xml:space="preserve"> </w:t>
      </w:r>
      <w:r>
        <w:t xml:space="preserve">(Arron et al. 2011)</w:t>
      </w:r>
      <w:r>
        <w:t xml:space="preserve">, in 12 skin lesions at a median 66 million reads</w:t>
      </w:r>
      <w:r>
        <w:t xml:space="preserve"> </w:t>
      </w:r>
      <w:r>
        <w:t xml:space="preserve">(Hultin et al. 2019)</w:t>
      </w:r>
      <w:r>
        <w:t xml:space="preserve">, in 345 post-transplant tumours at 35 million reads with transcription in 15</w:t>
      </w:r>
      <w:r>
        <w:t xml:space="preserve"> </w:t>
      </w:r>
      <w:r>
        <w:t xml:space="preserve">(Arroyo Mühr, Hultin, and Dillner 2021)</w:t>
      </w:r>
      <w:r>
        <w:t xml:space="preserve">, and in 23 risk-stratified biopsies with no expression against 64% DNA positivity</w:t>
      </w:r>
      <w:r>
        <w:t xml:space="preserve"> </w:t>
      </w:r>
      <w:r>
        <w:t xml:space="preserve">(Vandiver et al. 2021)</w:t>
      </w:r>
      <w:r>
        <w:t xml:space="preserve">; E6/E7 mRNA in situ hybridization agrees, at 0.9% of 225 non-anogenital cutaneous SCC</w:t>
      </w:r>
      <w:r>
        <w:t xml:space="preserve"> </w:t>
      </w:r>
      <w:r>
        <w:t xml:space="preserve">(Fujimoto et al. 2019)</w:t>
      </w:r>
      <w:r>
        <w:t xml:space="preserve">. The literature is not unanimous, since in situ hybridization demonstrated EV-HPV transcripts in 4 of 11 PCR-positive transplant cSCC</w:t>
      </w:r>
      <w:r>
        <w:t xml:space="preserve"> </w:t>
      </w:r>
      <w:r>
        <w:t xml:space="preserve">(Purdie et al. 2005)</w:t>
      </w:r>
      <w:r>
        <w:t xml:space="preserve">. What no study has had is a denominator: these series run from 11 to 345 specimens, four of five are lesion-only with no unselected-skin comparator, the largest is confined to formalin-fixed transplant material, and none scores productive replication.</w:t>
      </w:r>
    </w:p>
    <w:p>
      <w:pPr>
        <w:pStyle w:val="BodyText"/>
      </w:pPr>
      <w:r>
        <w:t xml:space="preserve">Public archives can supply that denominator, since the non-human reads discarded by standard pipelines carry the signal</w:t>
      </w:r>
      <w:r>
        <w:t xml:space="preserve"> </w:t>
      </w:r>
      <w:r>
        <w:t xml:space="preserve">(Edgar et al. 2022)</w:t>
      </w:r>
      <w:r>
        <w:t xml:space="preserve">, an approach already applied to skin</w:t>
      </w:r>
      <w:r>
        <w:t xml:space="preserve"> </w:t>
      </w:r>
      <w:r>
        <w:t xml:space="preserve">(Leiendecker et al. 2023; Bhargava et al. 2025)</w:t>
      </w:r>
      <w:r>
        <w:t xml:space="preserve">. It is also booby-trapped: HeLa-derived HPV18 contaminates archived data extensively</w:t>
      </w:r>
      <w:r>
        <w:t xml:space="preserve"> </w:t>
      </w:r>
      <w:r>
        <w:t xml:space="preserve">(Cantalupo, Katz, and Pipas 2015; Kazemian et al. 2015; Adey et al. 2013)</w:t>
      </w:r>
      <w:r>
        <w:t xml:space="preserve">, and depth and library chemistry both bound what any survey can detect. Here we re-mine public human RNA-seq across the skin spectrum, asking at what rate cutaneous HPV is transcribed, which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tiers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 the detection-tier trace catalog,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cutaneous squamous cell carcinoma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cutaneous squamous cell carcinoma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papillomavirus reads per million (RPM).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2026-08-24T12:15:27Z</dcterms:created>
  <dcterms:modified xsi:type="dcterms:W3CDTF">2026-08-24T12:15:27Z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