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harbored genuine productive beta-/alpha-HPV infection (HPV12, HPV96, HPV182, HPV16). Cutaneous HPV is productive in warts but quiet in healthy skin and carcinoma: a trace, non-productive footprint that any account of beta-HPV in skin must accommodate. Beyond HPV, this contamination-aware framework, normalized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characterized,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signaling and the repair of UV-induced lesions, and disrupt NOTCH and TGF-β signaling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colonization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immortalization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localized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normalization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characterize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depth-normalized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artifact of depth, the fraction of libraries at or above the detection floor was additionally computed within matched total-read bins (&lt;5M, 5–10M, 10–20M, 20–40M, &gt;40M). The same per-sample table also yielded an HPV-type × tier catalog.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cSCC, actinic keratosis (AK) and Bowen disease (1,070 libraries screened). Throughout, every screened library, including HPV-negative ones, was scored as papillomavirus reads per million so that infection burden could be separated from sequencing depth, and each sample was annotated as primary tissue, cell line, or engineered material.</w:t>
      </w:r>
    </w:p>
    <w:bookmarkStart w:id="40" w:name="Xa5b89986f28ada3701561b4c23748131e9907b2"/>
    <w:p>
      <w:pPr>
        <w:pStyle w:val="Heading3"/>
      </w:pPr>
      <w:r>
        <w:t xml:space="preserve">HPV signal in public RNA-seq is dominated by cell-line and engineered artifacts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artifact that must be partitioned out before any prevalence claim.</w:t>
      </w:r>
    </w:p>
    <w:p>
      <w:pPr>
        <w:pStyle w:val="BodyText"/>
      </w:pPr>
      <w:r>
        <w:t xml:space="preserve">The transcripts themselves carry an independent signature of that artifact,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gray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231235288bb14a3a2604ecfda1db6c905bee2b3"/>
    <w:p>
      <w:pPr>
        <w:pStyle w:val="Heading3"/>
      </w:pPr>
      <w:r>
        <w:t xml:space="preserve">Skin neoplasia carries only trace HPV, not productive infection, and this is not a depth artifact</w:t>
      </w:r>
    </w:p>
    <w:p>
      <w:pPr>
        <w:pStyle w:val="FirstParagraph"/>
      </w:pPr>
      <w:r>
        <w:t xml:space="preserve">The central question, whether HPV is transcriptionally active in cSCC/AK or present only as a residual footprint, was resolved by the depth-normalized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(immortalized keratinocyte EV models) remain in the cell-line tier, whereas the EV tier holds the 10 EV patient skin biopsies.</w:t>
            </w:r>
          </w:p>
          <w:bookmarkEnd w:id="44"/>
        </w:tc>
      </w:tr>
    </w:tbl>
    <w:p>
      <w:pPr>
        <w:pStyle w:val="BodyText"/>
      </w:pPr>
      <w:r>
        <w:t xml:space="preserve">This gap is not explained by sequencing depth. Modeling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t>
      </w:r>
      <w:hyperlink w:anchor="supptbl-chem">
        <w:r>
          <w:rPr>
            <w:rStyle w:val="Hyperlink"/>
          </w:rPr>
          <w:t xml:space="preserve">Table S5</w:t>
        </w:r>
      </w:hyperlink>
      <w:r>
        <w:t xml:space="preserve">), while the productive controls, the tier in which productive infection is abundant, contain no rRNA-depleted libraries at all. The tier in which no productive infection is found was thus built, three times more often than its comparator, with the chemistry most favorable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artifact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 itself makes the distinction visible (</w:t>
      </w:r>
      <w:hyperlink w:anchor="fig-orf">
        <w:r>
          <w:rPr>
            <w:rStyle w:val="Hyperlink"/>
          </w:rPr>
          <w:t xml:space="preserve">Figure 3</w:t>
        </w:r>
      </w:hyperlink>
      <w:r>
        <w:t xml:space="preserve">). Read gene by gene, the productive tiers run the complete viral program, capsid genes included: 90% of productive-control libraries and 95.5% of EV biopsies carry L1 reads. Skin and neoplasia are not a truncated version of that program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generalized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population tier. Every panel is conditional on HPV positivity and successful transcript classification, so this figure describes the program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harbor unambiguous productive infection, showing that the trace-level population result does not exclude real cutaneous HPV disease. The strongest cases were a cSCC skin library productively infected with the beta-type HPV12 (99.8% genome coverage; L1 = 1,803, L2 = 3,546 reads), two HPV16-productive cSCC libraries, and two libraries from cutaneous actinic-keratosis/cSCC cohorts whose SRA records carry no tissue field (an actinic keratosis and a carcinoma) co-infected with the beta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beta/alpha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 rather than qualify the trace-not-productive conclusion.</w:t>
      </w:r>
    </w:p>
    <w:p>
      <w:pPr>
        <w:pStyle w:val="BodyText"/>
      </w:pPr>
      <w:r>
        <w:t xml:space="preserve">A further descriptive feature of the catalog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catalogs are collapsed from HPV type to HPV genus: the assigned-type catalog of</w:t>
            </w:r>
            <w:r>
              <w:t xml:space="preserve"> </w:t>
            </w:r>
            <w:hyperlink w:anchor="supptbl-types">
              <w:r>
                <w:rPr>
                  <w:rStyle w:val="Hyperlink"/>
                </w:rPr>
                <w:t xml:space="preserve">Table S1</w:t>
              </w:r>
            </w:hyperlink>
            <w:r>
              <w:t xml:space="preserve"> </w:t>
            </w:r>
            <w:r>
              <w:t xml:space="preserve">(top row), the detection-tier trace catalog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Gray crosses mark tiers in which a genus was never detected; they sit at the axis floor because the</w:t>
            </w:r>
            <w:r>
              <w:t xml:space="preserve"> </w:t>
            </w:r>
            <w:r>
              <w:rPr>
                <w:i/>
                <w:iCs/>
              </w:rPr>
              <w:t xml:space="preserve">y</w:t>
            </w:r>
            <w:r>
              <w:t xml:space="preserve">-axis is log-scaled and the lowest tick, labeled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artifacts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summarizing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regularized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artifact.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artifact of how deeply the libraries were sequenced. Third, the same assay readily detects productive infection where it genuinely occurs: in warts and epidermodysplasia verruciformis (EV), and in a minority of bona fide primary-skin lesions carrying beta-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artifact of shallow sequencing. Nor is the literature unanimous: in situ hybridization on PCR-positive transplant-recipient cSCC demonstrated EV-HPV transcripts in 4 of 11 tumours, localized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colonization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localized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immortalization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randomized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neutralizing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harbored unambiguous productive infection, most strikingly an HPV12-productive cSCC and two lesions co-infected with the beta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center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center,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operationalization and measurement on one cohort: explicit cell-line, engineered and in-vitro annotation, study-level curation, dual breadth-and-depth typing thresholds, a control-calibrated productivity floor, and burden normalized for both depth and library chemistry, with the size of the artifact each is guarding against reported rather than asserted. That combination generalizes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a3766159b615d4715a6c4217379182cf93237f3"/>
    <w:p>
      <w:pPr>
        <w:pStyle w:val="Heading3"/>
      </w:pPr>
      <w:r>
        <w:t xml:space="preserve">What a petabase catalog does and does not measure</w:t>
      </w:r>
    </w:p>
    <w:p>
      <w:pPr>
        <w:pStyle w:val="FirstParagraph"/>
      </w:pPr>
      <w:r>
        <w:t xml:space="preserve">The DNA axis used here is a catalog, and catalogs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 because it carries a detectable L1. Three consequences follow, and together they bound what any comparison against such a resource can claim. First, presence in the catalog means L1-detectable presence, and carries no information about the state of the viral genome. Second, the catalog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 membership, which is what the E1:E2 ratio and the virus-host junctions do above. The point generalizes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localizes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normalization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fig-types"/>
          <w:p>
            <w:pPr>
              <w:pStyle w:val="Compact"/>
              <w:jc w:val="center"/>
            </w:pPr>
            <w:r>
              <w:drawing>
                <wp:inline>
                  <wp:extent cx="5943600" cy="2729653"/>
                  <wp:effectExtent b="0" l="0" r="0" t="0"/>
                  <wp:docPr descr="" title="" id="213" name="Picture"/>
                  <a:graphic>
                    <a:graphicData uri="http://schemas.openxmlformats.org/drawingml/2006/picture">
                      <pic:pic>
                        <pic:nvPicPr>
                          <pic:cNvPr descr="figureS2.png" id="214" name="Picture"/>
                          <pic:cNvPicPr>
                            <a:picLocks noChangeArrowheads="1" noChangeAspect="1"/>
                          </pic:cNvPicPr>
                        </pic:nvPicPr>
                        <pic:blipFill>
                          <a:blip r:embed="rId212"/>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 against detection tier.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gray marks a type not seen in that tier at all. Read that way the two panels say different things. The assigned catalog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1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2026-08-24T12:45:19Z</dcterms:created>
  <dcterms:modified xsi:type="dcterms:W3CDTF">2026-08-24T12:45:19Z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