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6.png" ContentType="image/png"/>
  <Override PartName="/word/media/rId42.png" ContentType="image/png"/>
  <Override PartName="/word/media/rId46.png" ContentType="image/png"/>
  <Override PartName="/word/media/rId52.png" ContentType="image/png"/>
  <Override PartName="/word/media/rId57.png" ContentType="image/png"/>
  <Override PartName="/word/media/rId214.png" ContentType="image/png"/>
  <Override PartName="/word/media/rId218.png" ContentType="image/png"/>
  <Override PartName="/word/media/rId222.png" ContentType="image/png"/>
  <Override PartName="/word/media/rId226.png" ContentType="image/png"/>
  <Override PartName="/word/media/rId2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2026-08-27</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harbored genuine productive beta-/alpha-HPV infection (HPV12, HPV96, HPV182, HPV16). Cutaneous HPV is productive in warts but quiet in healthy skin and carcinoma: a trace, non-productive footprint that any account of beta-HPV in skin must accommodate. Beyond HPV, this contamination-aware framework, normalized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characterized,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signaling and the repair of UV-induced lesions, and disrupt NOTCH and TGF-β signaling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colonization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immortalization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localized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normalization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characterize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depth-normalized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5"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10,834 screened libraries (5th percentile 85.5%), the small shortfall being fastp quality and length filtering, and the per-group medians span 95.8% to 99.5%, so no sample group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sample groups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Three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group,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(iii)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16 of 11,282 screened libraries.</w:t>
      </w:r>
    </w:p>
    <w:p>
      <w:pPr>
        <w:pStyle w:val="BodyText"/>
      </w:pPr>
      <w:r>
        <w:t xml:space="preserve">Two further sets of libraries were excluded outright rather than regrouped, because neither a null nor a control describes them. First, 433 16S rRNA amplicon libraries: an amplicon library carries no HPV sequence that could be detected whatever the infection status, so these are structural zeros rather than negative observations, and leaving them in would deflate the background rate every comparison is measured against. Second,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which are the matched adjacent tissue of five condyloma acuminatum donors, each sequenced as an RNA-seq library plus a MeRIP input and IP fraction. Tissue taken millimeters from a productive lesion cannot separate independent infection from spillover out of that lesion, so a detection there is not evidence of virus in the absence of disease, and five donors in three fractions each is one comparison rather than a population. Their lesions are retained in</w:t>
      </w:r>
      <w:r>
        <w:t xml:space="preserve"> </w:t>
      </w:r>
      <w:r>
        <w:rPr>
          <w:rStyle w:val="VerbatimChar"/>
        </w:rPr>
        <w:t xml:space="preserve">control_productive</w:t>
      </w:r>
      <w:r>
        <w:t xml:space="preserve">, so neither the productive contrast nor the detection floor calibrated on it is affected. The analyzed cohort is therefore 10,834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group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group difference was not an artifact of depth, the fraction of libraries at or above the detection floor was additionally computed within matched total-read bins (&lt;5M, 5–10M, 10–20M, 20–40M, &gt;40M). The same per-sample table also yielded an HPV-type × sample-group catalog. This analysis pooled the lesion cohorts against the prevalence-sweep null and used the curated cell-line flags. Logistic-regression models (positivity by sample class; productive-level detection by sample group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74.6%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6,736 of 10,834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groups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group</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X100e545f3d9e395267e0fa4a0c685cbdafc7ff0"/>
    <w:p>
      <w:pPr>
        <w:pStyle w:val="Heading3"/>
      </w:pPr>
      <w:r>
        <w:t xml:space="preserve">Independent DNA reservoir from public metagenomes</w:t>
      </w:r>
    </w:p>
    <w:p>
      <w:pPr>
        <w:pStyle w:val="FirstParagraph"/>
      </w:pPr>
      <w:r>
        <w:t xml:space="preserve">The presence axis against which the transcriptional result is read comes from a published petabase-scale papillomavirus catalog rather than from our own pipeline. Shen et al. screened the Logan assembly of 27 million archived sequencing libraries</w:t>
      </w:r>
      <w:r>
        <w:t xml:space="preserve"> </w:t>
      </w:r>
      <w:r>
        <w:t xml:space="preserve">(Chikhi et al. 2024)</w:t>
      </w:r>
      <w:r>
        <w:t xml:space="preserve"> </w:t>
      </w:r>
      <w:r>
        <w:t xml:space="preserve">for papillomavirus contigs by profile-HMM detection of the conserved L1 B and I domains and clustered them into operational types</w:t>
      </w:r>
      <w:r>
        <w:t xml:space="preserve"> </w:t>
      </w:r>
      <w:r>
        <w:t xml:space="preserve">(J. Y. Q. Shen et al. 2026)</w:t>
      </w:r>
      <w:r>
        <w:t xml:space="preserve">; we re-tabulated their released cluster-by-library table by body site. Libraries were bucketed by the BioSample organism field into skin (</w:t>
      </w:r>
      <w:r>
        <w:rPr>
          <w:rStyle w:val="VerbatimChar"/>
        </w:rPr>
        <w:t xml:space="preserve">human skin metagenome</w:t>
      </w:r>
      <w:r>
        <w:t xml:space="preserve">,</w:t>
      </w:r>
      <w:r>
        <w:t xml:space="preserve"> </w:t>
      </w:r>
      <w:r>
        <w:rPr>
          <w:rStyle w:val="VerbatimChar"/>
        </w:rPr>
        <w:t xml:space="preserve">skin metagenome</w:t>
      </w:r>
      <w:r>
        <w:t xml:space="preserve">), vaginal and gut metagenomes. The skin taxon also carries environmental transit surfaces and non-human animal skin, which were removed with a curated run exclusion list built from BioSample attributes (</w:t>
      </w:r>
      <w:r>
        <w:rPr>
          <w:rStyle w:val="VerbatimChar"/>
        </w:rPr>
        <w:t xml:space="preserve">bin/build_skin_run_exclusions.py</w:t>
      </w:r>
      <w:r>
        <w:t xml:space="preserve">). Each contig cluster was mapped to an HPV type through the study’s own taxonomy demarcation table and then to a genus through the same type-to-genus map used for our RNA catalogs, so the two modalities are labeled identically; a cluster with a papillomavirus identity that resolves to no genus is reported as</w:t>
      </w:r>
      <w:r>
        <w:t xml:space="preserve"> </w:t>
      </w:r>
      <w:r>
        <w:rPr>
          <w:i/>
          <w:iCs/>
        </w:rPr>
        <w:t xml:space="preserve">Unresolved</w:t>
      </w:r>
      <w:r>
        <w:t xml:space="preserve"> </w:t>
      </w:r>
      <w:r>
        <w:t xml:space="preserve">and one with no reference match as</w:t>
      </w:r>
      <w:r>
        <w:t xml:space="preserve"> </w:t>
      </w:r>
      <w:r>
        <w:rPr>
          <w:i/>
          <w:iCs/>
        </w:rPr>
        <w:t xml:space="preserve">Novel</w:t>
      </w:r>
      <w:r>
        <w:t xml:space="preserve">.</w:t>
      </w:r>
    </w:p>
    <w:p>
      <w:pPr>
        <w:pStyle w:val="BodyText"/>
      </w:pPr>
      <w:r>
        <w:t xml:space="preserve">All quantities from this catalog are compositions conditional on positivity: the denominator is the HPV-positive libraries of a body site, and a library carrying types of two genera contributes to both, so genus proportions within a site do not sum to one. No prevalence is computed from the catalog, since a defensible denominator would require the screened-library count per body site to be reconstructed under the same freeze applied to the numerator. The type-level comparison against our own data joins the reservoir types onto both RNA catalogs, the assigned catalog (</w:t>
      </w:r>
      <w:hyperlink w:anchor="supptbl-types">
        <w:r>
          <w:rPr>
            <w:rStyle w:val="Hyperlink"/>
          </w:rPr>
          <w:t xml:space="preserve">Table S1</w:t>
        </w:r>
      </w:hyperlink>
      <w:r>
        <w:t xml:space="preserve">) and the trace catalog (</w:t>
      </w:r>
      <w:hyperlink w:anchor="supptbl-trace">
        <w:r>
          <w:rPr>
            <w:rStyle w:val="Hyperlink"/>
          </w:rPr>
          <w:t xml:space="preserve">Table S6</w:t>
        </w:r>
      </w:hyperlink>
      <w:r>
        <w:t xml:space="preserve">, at least five best-hit reads, MAPQ ≥ 20, and a majority of the library’s primary alignments on that reference), so that a type below the assignment threshold in skin RNA is reported as a trace detection and never as an absence. This tabulation is implemented in</w:t>
      </w:r>
      <w:r>
        <w:t xml:space="preserve"> </w:t>
      </w:r>
      <w:r>
        <w:rPr>
          <w:rStyle w:val="VerbatimChar"/>
        </w:rPr>
        <w:t xml:space="preserve">dna_rna_triangulation/shen_reservoir_by_tissue.R</w:t>
      </w:r>
      <w:r>
        <w:t xml:space="preserve"> </w:t>
      </w:r>
      <w:r>
        <w:t xml:space="preserve">and</w:t>
      </w:r>
      <w:r>
        <w:t xml:space="preserve"> </w:t>
      </w:r>
      <w:r>
        <w:rPr>
          <w:rStyle w:val="VerbatimChar"/>
        </w:rPr>
        <w:t xml:space="preserve">dna_rna_triangulation/skin_dna_vs_rna_corrected.R</w:t>
      </w:r>
      <w:r>
        <w:t xml:space="preserve">, and</w:t>
      </w:r>
      <w:r>
        <w:t xml:space="preserve"> </w:t>
      </w:r>
      <w:hyperlink w:anchor="fig-reservoir">
        <w:r>
          <w:rPr>
            <w:rStyle w:val="Hyperlink"/>
          </w:rPr>
          <w:t xml:space="preserve">Figure 5</w:t>
        </w:r>
      </w:hyperlink>
      <w:r>
        <w:t xml:space="preserve"> </w:t>
      </w:r>
      <w:r>
        <w:t xml:space="preserve">is built from their outputs by</w:t>
      </w:r>
      <w:r>
        <w:t xml:space="preserve"> </w:t>
      </w:r>
      <w:r>
        <w:rPr>
          <w:rStyle w:val="VerbatimChar"/>
        </w:rPr>
        <w:t xml:space="preserve">manuscript/figure_reservoir.R</w:t>
      </w:r>
      <w:r>
        <w:t xml:space="preserve">.</w:t>
      </w:r>
    </w:p>
    <w:bookmarkEnd w:id="33"/>
    <w:bookmarkStart w:id="34"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34"/>
    <w:bookmarkEnd w:id="35"/>
    <w:bookmarkStart w:id="63"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cSCC, actinic keratosis (AK) and Bowen disease (1,070 libraries screened). Throughout, every screened library, including HPV-negative ones, was scored as papillomavirus reads per million so that infection burden could be separated from sequencing depth, and each sample was annotated as primary tissue, cell line, or engineered material.</w:t>
      </w:r>
    </w:p>
    <w:bookmarkStart w:id="41" w:name="Xa5b89986f28ada3701561b4c23748131e9907b2"/>
    <w:p>
      <w:pPr>
        <w:pStyle w:val="Heading3"/>
      </w:pPr>
      <w:r>
        <w:t xml:space="preserve">HPV signal in public RNA-seq is dominated by cell-line and engineered artifacts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artifact that must be partitioned out before any prevalence claim.</w:t>
      </w:r>
    </w:p>
    <w:p>
      <w:pPr>
        <w:pStyle w:val="BodyText"/>
      </w:pPr>
      <w:r>
        <w:t xml:space="preserve">The transcripts themselves carry an independent signature of that artifact, in two forms. E1 and E2 are encoded on the same early polycistronic message, so their read counts should track one another; integration characteristically disrupts the E2 open reading frame while sparing E1, inverting the ratio. Cell-line libraries show a median E1:E2 ratio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4.8% of productive controls, the two groups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group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ratio rises monotonically with grade.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it runs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which is a shift of roughly eightfold in the ratio itself, in the direction integration predicts.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39" w:name="fig-integration"/>
          <w:p>
            <w:pPr>
              <w:pStyle w:val="Compact"/>
              <w:jc w:val="center"/>
            </w:pPr>
            <w:r>
              <w:drawing>
                <wp:inline>
                  <wp:extent cx="5943600" cy="4754880"/>
                  <wp:effectExtent b="0" l="0" r="0" t="0"/>
                  <wp:docPr descr="" title="" id="37" name="Picture"/>
                  <a:graphic>
                    <a:graphicData uri="http://schemas.openxmlformats.org/drawingml/2006/picture">
                      <pic:pic>
                        <pic:nvPicPr>
                          <pic:cNvPr descr="figure1.png" id="38" name="Picture"/>
                          <pic:cNvPicPr>
                            <a:picLocks noChangeArrowheads="1" noChangeAspect="1"/>
                          </pic:cNvPicPr>
                        </pic:nvPicPr>
                        <pic:blipFill>
                          <a:blip r:embed="rId3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sample group,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gray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3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40"/>
          <w:p/>
        </w:tc>
      </w:tr>
    </w:tbl>
    <w:bookmarkEnd w:id="41"/>
    <w:bookmarkStart w:id="50" w:name="X231235288bb14a3a2604ecfda1db6c905bee2b3"/>
    <w:p>
      <w:pPr>
        <w:pStyle w:val="Heading3"/>
      </w:pPr>
      <w:r>
        <w:t xml:space="preserve">Skin neoplasia carries only trace HPV, not productive infection, and this is not a depth artifact</w:t>
      </w:r>
    </w:p>
    <w:p>
      <w:pPr>
        <w:pStyle w:val="FirstParagraph"/>
      </w:pPr>
      <w:r>
        <w:t xml:space="preserve">The central question, whether HPV is transcriptionally active in cSCC/AK or present only as a residual footprint, was resolved by the depth-normalized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group, sequenced most deeply of all (median 62.6M reads), reached it in 80% (median 229.6 RPM). In stark contrast, the neoplasia group reached this floor in only 1.5% of libraries (median 0.012 RPM), six orders of magnitude below the productive controls, despite being sequenced almost four times more deeply than they were (median 45.2M vs 12.2M reads). Unselected skin, once the EV material that the targeted queries had swept into it was reassigned to its own group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5" w:name="fig-rpm"/>
          <w:p>
            <w:pPr>
              <w:pStyle w:val="Compact"/>
              <w:jc w:val="center"/>
            </w:pPr>
            <w:r>
              <w:drawing>
                <wp:inline>
                  <wp:extent cx="5943600" cy="3632200"/>
                  <wp:effectExtent b="0" l="0" r="0" t="0"/>
                  <wp:docPr descr="" title="" id="43" name="Picture"/>
                  <a:graphic>
                    <a:graphicData uri="http://schemas.openxmlformats.org/drawingml/2006/picture">
                      <pic:pic>
                        <pic:nvPicPr>
                          <pic:cNvPr descr="figure2.png" id="44" name="Picture"/>
                          <pic:cNvPicPr>
                            <a:picLocks noChangeArrowheads="1" noChangeAspect="1"/>
                          </pic:cNvPicPr>
                        </pic:nvPicPr>
                        <pic:blipFill>
                          <a:blip r:embed="rId42"/>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distinguishes productive warts and EV from a trace-level signal in skin neoplasia and unselected skin. Each point is one Kraken2-screened RNA-seq library, scored as papillomavirus reads per million (RPM: Papillomaviridae clade reads ÷ (unclassified + root reads) × 10⁶) and assigned to a sample group: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non-permissive tissue (cutaneous adipose, which has no stratified squamous compartment in which a papillomavirus could replicate; 334), and libraries with no recorded site (1,317; the residual group,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whereas neoplasia and unselected skin sit near zero (1.5% and 0.1% above floor) despite neoplasia being sequenced far more deeply than the productive controls (median 45.2M vs 12.2M reads). Group assignment is by metadata precedence with curated corrections (Methods): EV</w:t>
            </w:r>
            <w:r>
              <w:t xml:space="preserve"> </w:t>
            </w:r>
            <w:r>
              <w:rPr>
                <w:i/>
                <w:iCs/>
              </w:rPr>
              <w:t xml:space="preserve">cultures</w:t>
            </w:r>
            <w:r>
              <w:t xml:space="preserve"> </w:t>
            </w:r>
            <w:r>
              <w:t xml:space="preserve">(immortalized keratinocyte EV models) remain in the cell-line group, whereas the EV group holds the 10 EV patient skin biopsies.</w:t>
            </w:r>
          </w:p>
          <w:bookmarkEnd w:id="45"/>
        </w:tc>
      </w:tr>
    </w:tbl>
    <w:p>
      <w:pPr>
        <w:pStyle w:val="BodyText"/>
      </w:pPr>
      <w:r>
        <w:t xml:space="preserve">This gap is not explained by sequencing depth. Modeling productive-level detection (RPM ≥ floor) as a function of sample group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groups (OR 1.5, 0.4–5.2,</w:t>
      </w:r>
      <w:r>
        <w:t xml:space="preserve"> </w:t>
      </w:r>
      <w:r>
        <w:rPr>
          <w:i/>
          <w:iCs/>
        </w:rPr>
        <w:t xml:space="preserve">P</w:t>
      </w:r>
      <w:r>
        <w:t xml:space="preserve"> </w:t>
      </w:r>
      <w:r>
        <w:t xml:space="preserve">= 0.49) or within the neoplasia group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That trace can be taken apart further, because the pipeline writes per-gene read counts for every HPV-positive library. Among the 230 below-floor libraries of unselected skin and neoplasia, 63% carry no reads on any HPV gene at all, a Kraken2 k-mer call that does not survive alignment and gene assignment; 25% carry gene-mapped reads that never reach the productive threshold, 52 of those 57 being early-gene reads with the late programme absent; and 13% clear it as low-burden productive infections (</w:t>
      </w:r>
      <w:hyperlink w:anchor="suppfig-trace">
        <w:r>
          <w:rPr>
            <w:rStyle w:val="Hyperlink"/>
          </w:rPr>
          <w:t xml:space="preserve">Figure S2</w:t>
        </w:r>
      </w:hyperlink>
      <w:r>
        <w:t xml:space="preserve">). The productive controls are the mirror image, 91% productive with a median late-read fraction of 0.367 against 0 across the trace. The sub-threshold signal is therefore neither wholly artifactual nor productive: a dominant technical floor overlying a minority carrying the early-without-late shape of latent or abortive infection, on the cutaneous beta and gamma types of</w:t>
      </w:r>
      <w:r>
        <w:t xml:space="preserve"> </w:t>
      </w:r>
      <w:hyperlink w:anchor="supptbl-trace">
        <w:r>
          <w:rPr>
            <w:rStyle w:val="Hyperlink"/>
          </w:rPr>
          <w:t xml:space="preserve">Table S6</w:t>
        </w:r>
      </w:hyperlink>
      <w:r>
        <w:t xml:space="preserve"> </w:t>
      </w:r>
      <w:r>
        <w:t xml:space="preserve">rather than the mucosal HPV16/HPV18 that cell-line contamination would deposit.</w:t>
      </w:r>
    </w:p>
    <w:p>
      <w:pPr>
        <w:pStyle w:val="BodyText"/>
      </w:pPr>
      <w:r>
        <w:t xml:space="preserve">Nor is it explained by how the libraries were built. Depth is one bound on viral-transcript recovery; RNA-selection chemistry is the other, and poly-A capture is the chemistry least favorable to it. Chemistry was resolved for 6,736 libraries (62.2%) from SRA metadata and library-construction protocol text, and it is not balanced across groups, but the imbalance runs against the negative result rather than producing it: the neoplasia group is rRNA-depleted in 22.9% of libraries against 7.2% of unselected skin (</w:t>
      </w:r>
      <w:hyperlink w:anchor="supptbl-chem">
        <w:r>
          <w:rPr>
            <w:rStyle w:val="Hyperlink"/>
          </w:rPr>
          <w:t xml:space="preserve">Table S5</w:t>
        </w:r>
      </w:hyperlink>
      <w:r>
        <w:t xml:space="preserve">), while the productive controls, the group in which productive infection is abundant, contain no rRNA-depleted libraries at all. The group in which no productive infection is found was thus built, three times more often than its comparator, with the chemistry most favorable to finding it. Within the two groups of the contrast, and adjusting for depth and group, rRNA-depleted libraries were no more likely than poly-A libraries to carry any HPV read (OR 1.0, 95% CI 0.8–1.2,</w:t>
      </w:r>
      <w:r>
        <w:t xml:space="preserve"> </w:t>
      </w:r>
      <w:r>
        <w:rPr>
          <w:i/>
          <w:iCs/>
        </w:rPr>
        <w:t xml:space="preserve">P</w:t>
      </w:r>
      <w:r>
        <w:t xml:space="preserve"> </w:t>
      </w:r>
      <w:r>
        <w:t xml:space="preserve">= 0.93; OR 1.2, 1.0–1.4 across all groups). What did move trace detection, by three- to four-fold at equal depth, was not selection chemistry but amplification: SMART template-switching (OR 4.4) and 3’-barcoded droplet libraries (OR 3.6), a pattern that reads as amplification and barcode-swapping artifact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group, reached the productive floor.</w:t>
      </w:r>
    </w:p>
    <w:p>
      <w:pPr>
        <w:pStyle w:val="BodyText"/>
      </w:pPr>
      <w:r>
        <w:t xml:space="preserve">Pooling actinic keratosis with carcinoma is a choice the data support rather than an assumption. Split on diagnosis, the group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group is not averaging two different phenomena.</w:t>
      </w:r>
    </w:p>
    <w:p>
      <w:pPr>
        <w:pStyle w:val="BodyText"/>
      </w:pPr>
      <w:r>
        <w:t xml:space="preserve">The transcript program itself makes the distinction visible (</w:t>
      </w:r>
      <w:hyperlink w:anchor="fig-orf">
        <w:r>
          <w:rPr>
            <w:rStyle w:val="Hyperlink"/>
          </w:rPr>
          <w:t xml:space="preserve">Figure 3</w:t>
        </w:r>
      </w:hyperlink>
      <w:r>
        <w:t xml:space="preserve">). Read gene by gene, the productive groups run the complete viral program, capsid genes included: 90% of productive-control libraries and 95.5% of EV biopsies carry L1 reads. Skin and neoplasia are not a truncated version of that program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generalized from one ratio to the whole genome. Where there are enough reads to apportion, the same contrast appears as composition: productive controls place 34.9% of their viral reads on the late genes against 6.4% on E6 and E7, and cell lines invert this exactly, 2.2% late against 66.6% oncogenic.</w:t>
      </w:r>
    </w:p>
    <w:tbl>
      <w:tblPr>
        <w:tblStyle w:val="Table"/>
        <w:tblW w:type="pct" w:w="5000"/>
        <w:tblLayout w:type="fixed"/>
        <w:tblLook w:firstRow="0" w:lastRow="0" w:firstColumn="0" w:lastColumn="0" w:noHBand="0" w:noVBand="0" w:val="0000"/>
      </w:tblPr>
      <w:tblGrid>
        <w:gridCol w:w="7920"/>
      </w:tblGrid>
      <w:tr>
        <w:tc>
          <w:tcPr/>
          <w:bookmarkStart w:id="49" w:name="fig-orf"/>
          <w:p>
            <w:pPr>
              <w:pStyle w:val="Compact"/>
              <w:jc w:val="center"/>
            </w:pPr>
            <w:r>
              <w:drawing>
                <wp:inline>
                  <wp:extent cx="5943600" cy="7594599"/>
                  <wp:effectExtent b="0" l="0" r="0" t="0"/>
                  <wp:docPr descr="" title="" id="47" name="Picture"/>
                  <a:graphic>
                    <a:graphicData uri="http://schemas.openxmlformats.org/drawingml/2006/picture">
                      <pic:pic>
                        <pic:nvPicPr>
                          <pic:cNvPr descr="figure3.png" id="48" name="Picture"/>
                          <pic:cNvPicPr>
                            <a:picLocks noChangeArrowheads="1" noChangeAspect="1"/>
                          </pic:cNvPicPr>
                        </pic:nvPicPr>
                        <pic:blipFill>
                          <a:blip r:embed="rId46"/>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sample group. Every panel is conditional on HPV positivity and successful transcript classification, so this figure describes the program of detected infections and is not a prevalence statement; the 413 libraries with a classification are distributed unevenly across groups, and each group’s</w:t>
            </w:r>
            <w:r>
              <w:t xml:space="preserve"> </w:t>
            </w:r>
            <w:r>
              <w:rPr>
                <w:i/>
                <w:iCs/>
              </w:rPr>
              <w:t xml:space="preserve">n</w:t>
            </w:r>
            <w:r>
              <w:t xml:space="preserve"> </w:t>
            </w:r>
            <w:r>
              <w:t xml:space="preserve">is printed on the panel. E5 is omitted, being absent from most beta- and gamma-types and zero in every group here. (</w:t>
            </w:r>
            <w:r>
              <w:rPr>
                <w:b/>
                <w:bCs/>
              </w:rPr>
              <w:t xml:space="preserve">A</w:t>
            </w:r>
            <w:r>
              <w:t xml:space="preserve">) Program breadth: the percentage of a group’s libraries carrying at least one read on each open reading frame, as a Beta-Binomial posterior mean under a weakly-informative Beta(0.5, 0.5) prior, as elsewhere in this work. Three shapes separate. Productive controls and EV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group and not the group.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49"/>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group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group is the conservative choice.</w:t>
      </w:r>
    </w:p>
    <w:bookmarkEnd w:id="50"/>
    <w:bookmarkStart w:id="51"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harbor unambiguous productive infection, showing that the trace-level population result does not exclude real cutaneous HPV disease. The strongest cases were a cSCC skin library productively infected with the beta-type HPV12 (99.8% genome coverage; L1 = 1,803, L2 = 3,546 reads), two HPV16-productive cSCC libraries, and two libraries from cutaneous actinic-keratosis/cSCC cohorts whose SRA records carry no tissue field (an actinic keratosis and a carcinoma) co-infected with the beta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group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1"/>
    <w:bookmarkStart w:id="56" w:name="Xbfc31e8157dbfb58c369259a51fad30607fe5ee"/>
    <w:p>
      <w:pPr>
        <w:pStyle w:val="Heading3"/>
      </w:pPr>
      <w:r>
        <w:t xml:space="preserve">The HPV type landscape is partitioned by population</w:t>
      </w:r>
    </w:p>
    <w:p>
      <w:pPr>
        <w:pStyle w:val="FirstParagraph"/>
      </w:pPr>
      <w:r>
        <w:t xml:space="preserve">The HPV-type-by-group catalog (</w:t>
      </w:r>
      <w:hyperlink w:anchor="supptbl-types">
        <w:r>
          <w:rPr>
            <w:rStyle w:val="Hyperlink"/>
          </w:rPr>
          <w:t xml:space="preserve">Table S1</w:t>
        </w:r>
      </w:hyperlink>
      <w:r>
        <w:t xml:space="preserve">, drawn against the detection level in</w:t>
      </w:r>
      <w:r>
        <w:t xml:space="preserve"> </w:t>
      </w:r>
      <w:hyperlink w:anchor="suppfig-types">
        <w:r>
          <w:rPr>
            <w:rStyle w:val="Hyperlink"/>
          </w:rPr>
          <w:t xml:space="preserve">Figure S3</w:t>
        </w:r>
      </w:hyperlink>
      <w:r>
        <w:t xml:space="preserve">) recapitulates these conclusions in a single descriptive view, and the corrected grouping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group carries precisely the beta-types the syndrome is defined by (HPV9, HPV14, HPV20, HPV25, HPV47) alongside an alpha co-detection. Unselected skin, by contrast, contributes no HPV type at all above the two-library display threshold except two HPV18 contamination calls: its beta/gamma reservoir is real but sits entirely below the assignment threshold, and is recovered only at the detection level (below). The genuine neoplasia-associated productive infections are the beta/alpha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cell lines are alpha, and unselected skin is flat and low across alpha, beta and gamma, with the study’s only nu detections. Cutaneous neoplasia is the one tissue group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 below the assignment threshold answers the descriptive question of</w:t>
      </w:r>
      <w:r>
        <w:t xml:space="preserve"> </w:t>
      </w:r>
      <w:r>
        <w:rPr>
          <w:i/>
          <w:iCs/>
        </w:rPr>
        <w:t xml:space="preserve">which</w:t>
      </w:r>
      <w:r>
        <w:t xml:space="preserve"> </w:t>
      </w:r>
      <w:r>
        <w:t xml:space="preserve">types make up the trace. A detection-level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 rather than qualify the trace-not-productive conclusion.</w:t>
      </w:r>
    </w:p>
    <w:p>
      <w:pPr>
        <w:pStyle w:val="BodyText"/>
      </w:pPr>
      <w:r>
        <w:t xml:space="preserve">A further descriptive feature of the catalog is that types frequently co-occur: 26 of the 148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is HPV11 with HPV42, which co-occur in 8 libraries, against 1 carrying HPV42 alone. We present this as a hypothesis rather than a finding, for the three reasons set out in</w:t>
      </w:r>
      <w:r>
        <w:t xml:space="preserve"> </w:t>
      </w:r>
      <w:hyperlink w:anchor="supptbl-coinf">
        <w:r>
          <w:rPr>
            <w:rStyle w:val="Hyperlink"/>
          </w:rPr>
          <w:t xml:space="preserve">Table S7</w:t>
        </w:r>
      </w:hyperlink>
      <w:r>
        <w:t xml:space="preserve">. The co-infected libraries are heavily pseudo-replicated, 13 of the 26 coming from 5 donors of one study, each sequenced in three fractions across two SRA submissions; the secondary type in a co-infection is usually near the detection threshold (median depth 9.0×, 39% below 5×), to the point that one donor’s MeRIP input and IP fractions call different second types; and requiring both partners to clear a stricter coverage bar leaves 3 HPV11/HPV42 libraries from 1 of those 5 donors. Whether the pairing reflects genuine dual infection, or only that a second type is called where it happens to be abundant, cannot be settled from this material.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5" w:name="fig-genus"/>
          <w:p>
            <w:pPr>
              <w:pStyle w:val="Compact"/>
              <w:jc w:val="center"/>
            </w:pPr>
            <w:r>
              <w:drawing>
                <wp:inline>
                  <wp:extent cx="5943600" cy="3622765"/>
                  <wp:effectExtent b="0" l="0" r="0" t="0"/>
                  <wp:docPr descr="" title="" id="53" name="Picture"/>
                  <a:graphic>
                    <a:graphicData uri="http://schemas.openxmlformats.org/drawingml/2006/picture">
                      <pic:pic>
                        <pic:nvPicPr>
                          <pic:cNvPr descr="figure4.png" id="54" name="Picture"/>
                          <pic:cNvPicPr>
                            <a:picLocks noChangeArrowheads="1" noChangeAspect="1"/>
                          </pic:cNvPicPr>
                        </pic:nvPicPr>
                        <pic:blipFill>
                          <a:blip r:embed="rId52"/>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sample group. The two type catalogs are collapsed from HPV type to HPV genus: the assigned-type catalog of</w:t>
            </w:r>
            <w:r>
              <w:t xml:space="preserve"> </w:t>
            </w:r>
            <w:hyperlink w:anchor="supptbl-types">
              <w:r>
                <w:rPr>
                  <w:rStyle w:val="Hyperlink"/>
                </w:rPr>
                <w:t xml:space="preserve">Table S1</w:t>
              </w:r>
            </w:hyperlink>
            <w:r>
              <w:t xml:space="preserve"> </w:t>
            </w:r>
            <w:r>
              <w:t xml:space="preserve">(top row), the detection-level trace catalog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Each point is the prevalence of that genus within that sample group, meaning the percentage of the group’s libraries in which the genus was detected, estimated as a Beta-Binomial posterior mean under a weakly-informative Beta(0.5, 0.5) prior; the vertical bar through it is the 95% credible interval of that estimate, so it shows how firmly the prevalence is pinned and is wide wherever a group is small. The estimator is the one used in the two tables, so a point here and the corresponding table cell quote the same number. The figure printed above each point is the count of libraries in which the genus was detected; the denominator is the group size (Methods). Gray crosses mark groups in which a genus was never detected; they sit at the axis floor because the</w:t>
            </w:r>
            <w:r>
              <w:t xml:space="preserve"> </w:t>
            </w:r>
            <w:r>
              <w:rPr>
                <w:i/>
                <w:iCs/>
              </w:rPr>
              <w:t xml:space="preserve">y</w:t>
            </w:r>
            <w:r>
              <w:t xml:space="preserve">-axis is log-scaled and the lowest tick, labeled 0, is a placeholder for zero. A library carrying two types of different genera contributes to both, so the points within a group need not sum to that group’s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group in which beta exceeds alpha (2.8% [1.4–4.6] versus 2.1% [0.94–3.7]), consistent with a beta-HPV footprint, though at prevalences one to two orders of magnitude below the productive groups. The mu genus (HPV1, the classic plantar-wart type) was detected in no group.</w:t>
            </w:r>
          </w:p>
          <w:bookmarkEnd w:id="55"/>
        </w:tc>
      </w:tr>
    </w:tbl>
    <w:bookmarkEnd w:id="56"/>
    <w:bookmarkStart w:id="61" w:name="Xc94572a3ef4b27bc3a0d8f6c316aa9f5c541806"/>
    <w:p>
      <w:pPr>
        <w:pStyle w:val="Heading3"/>
      </w:pPr>
      <w:r>
        <w:t xml:space="preserve">The reservoir the survey is silent against is visible in independent public DNA</w:t>
      </w:r>
    </w:p>
    <w:p>
      <w:pPr>
        <w:pStyle w:val="FirstParagraph"/>
      </w:pPr>
      <w:r>
        <w:t xml:space="preserve">A transcriptional survey can only report silence against a reservoir whose existence it assumes, and every group above is an RNA measurement made in one pipeline. To test the assumption outside RNA and outside this cohort, we re-tabulated the petabase-scale papillomavirus catalog of public metagenome assemblies</w:t>
      </w:r>
      <w:r>
        <w:t xml:space="preserve"> </w:t>
      </w:r>
      <w:r>
        <w:t xml:space="preserve">(J. Y. Q. Shen et al. 2026; Chikhi et al. 2024)</w:t>
      </w:r>
      <w:r>
        <w:t xml:space="preserve"> </w:t>
      </w:r>
      <w:r>
        <w:t xml:space="preserve">by body site (Methods). Skin metagenomes contribute 1,735 HPV-positive libraries whose genus composition is the cutaneous commensal profile: beta in 57.9% and gamma in 40.7% of those libraries, against alpha in 7.4% and mu in 1.8% (</w:t>
      </w:r>
      <w:hyperlink w:anchor="fig-reservoir">
        <w:r>
          <w:rPr>
            <w:rStyle w:val="Hyperlink"/>
          </w:rPr>
          <w:t xml:space="preserve">Figure 5</w:t>
        </w:r>
      </w:hyperlink>
      <w:r>
        <w:t xml:space="preserve">). These are compositions conditional on positivity, with the HPV-positive libraries of a body site as the denominator; no prevalence is quoted from this catalog, and none is needed for the comparison made here. That the read-out carries signal rather than assembly noise is established by applying the identical procedure to the other body sites (</w:t>
      </w:r>
      <w:hyperlink w:anchor="suppfig-reservoir-gut">
        <w:r>
          <w:rPr>
            <w:rStyle w:val="Hyperlink"/>
          </w:rPr>
          <w:t xml:space="preserve">Figure S4</w:t>
        </w:r>
      </w:hyperlink>
      <w:r>
        <w:t xml:space="preserve">), which recovers the textbook mucosal niche from vaginal DNA alone (alpha 84.5%, beta 0.4%, gamma 1.3%), with its classic high- and low-risk repertoire (HPV91, HPV51, HPV66, HPV67, HPV16, HPV90). Gut metagenomes in the same figure interleave mucosal alpha with cutaneous beta, the signature of a collection route that crosses perianal skin, and are therefore a control on the sampling route rather than a third reservoir.</w:t>
      </w:r>
    </w:p>
    <w:p>
      <w:pPr>
        <w:pStyle w:val="BodyText"/>
      </w:pPr>
      <w:r>
        <w:t xml:space="preserve">The types are where the two modalities meet, and they do not agree. The 14 commonest skin types in the DNA reservoir are HPV24, HPV12, HPV38, HPV20, HPV107, HPV173, HPV21, HPV8, HPV5, HPV75, HPV14, HPV15, HPV17, HPV2, led by HPV24 in 7.4% of HPV-positive skin libraries: beta and gamma types throughout except HPV2, the repertoire that our detection level recovers only as a trace (</w:t>
      </w:r>
      <w:hyperlink w:anchor="supptbl-trace">
        <w:r>
          <w:rPr>
            <w:rStyle w:val="Hyperlink"/>
          </w:rPr>
          <w:t xml:space="preserve">Table S6</w:t>
        </w:r>
      </w:hyperlink>
      <w:r>
        <w:t xml:space="preserve">) and that the assigned catalog of</w:t>
      </w:r>
      <w:r>
        <w:t xml:space="preserve"> </w:t>
      </w:r>
      <w:hyperlink w:anchor="supptbl-types">
        <w:r>
          <w:rPr>
            <w:rStyle w:val="Hyperlink"/>
          </w:rPr>
          <w:t xml:space="preserve">Table S1</w:t>
        </w:r>
      </w:hyperlink>
      <w:r>
        <w:t xml:space="preserve"> </w:t>
      </w:r>
      <w:r>
        <w:t xml:space="preserve">does not record in a single unselected-skin library. Set against our own 7,800 unselected-skin libraries, those 14 types together account for 0 assigned detections and 9 trace-level detections (</w:t>
      </w:r>
      <w:hyperlink w:anchor="fig-reservoir">
        <w:r>
          <w:rPr>
            <w:rStyle w:val="Hyperlink"/>
          </w:rPr>
          <w:t xml:space="preserve">Figure 5</w:t>
        </w:r>
      </w:hyperlink>
      <w:r>
        <w:t xml:space="preserve"> </w:t>
      </w:r>
      <w:r>
        <w:t xml:space="preserve">A). Read across every type rather than the commonest few, the disagreement is the general case and not a property of the commonest few: 102 of the 115 types present in the skin DNA reservoir are productive in no library of this study, 9 of the 22 productive types are absent from skin DNA altogether, and HPV2 alone is both abundant in the reservoir and productive here (</w:t>
      </w:r>
      <w:hyperlink w:anchor="fig-reservoir">
        <w:r>
          <w:rPr>
            <w:rStyle w:val="Hyperlink"/>
          </w:rPr>
          <w:t xml:space="preserve">Figure 5</w:t>
        </w:r>
      </w:hyperlink>
      <w:r>
        <w:t xml:space="preserve"> </w:t>
      </w:r>
      <w:r>
        <w:t xml:space="preserve">B). HPV8, the beta type most consistently associated with cutaneous carcinoma in the serological and DNA literature, is the sharpest case: 63 of the 1,735 HPV-positive skin DNA libraries carry it, against 0 of the 10,834 RNA libraries screened here at any level, assigned or trace. The reservoir this survey finds transcriptionally quiet is therefore not an assumption of the survey: it is independently present, in the expected genera and the expected types, in a different molecule and a different set of studies.</w:t>
      </w:r>
    </w:p>
    <w:p>
      <w:pPr>
        <w:pStyle w:val="BodyText"/>
      </w:pPr>
      <w:r>
        <w:t xml:space="preserve">Two further features of the DNA composition bear on the reference-panel limit of any typing scheme, ours included. 55.3% of HPV-positive skin libraries carry a contig that cannot be placed in a genus and 14.5% carry a cluster with no reference match at all, against 29.9% and 0.2% respectively in the vaginal libraries. The mucosal alpha types are exhaustively described and the cutaneous reservoir is not, consistent with the 229 skin types described without a reference genome</w:t>
      </w:r>
      <w:r>
        <w:t xml:space="preserve"> </w:t>
      </w:r>
      <w:r>
        <w:t xml:space="preserve">(Bzhalava et al. 2014)</w:t>
      </w:r>
      <w:r>
        <w:t xml:space="preserve">, so both the DNA composition above and our own type catalog are lower bounds on cutaneous diversity. The two arms also sample different compartments, surface swabs against bulk tissue, which we return to in the Discussion.</w:t>
      </w:r>
    </w:p>
    <w:tbl>
      <w:tblPr>
        <w:tblStyle w:val="Table"/>
        <w:tblW w:type="pct" w:w="5000"/>
        <w:tblLayout w:type="fixed"/>
        <w:tblLook w:firstRow="0" w:lastRow="0" w:firstColumn="0" w:lastColumn="0" w:noHBand="0" w:noVBand="0" w:val="0000"/>
      </w:tblPr>
      <w:tblGrid>
        <w:gridCol w:w="7920"/>
      </w:tblGrid>
      <w:tr>
        <w:tc>
          <w:tcPr/>
          <w:bookmarkStart w:id="60" w:name="fig-reservoir"/>
          <w:p>
            <w:pPr>
              <w:pStyle w:val="Compact"/>
              <w:jc w:val="center"/>
            </w:pPr>
            <w:r>
              <w:drawing>
                <wp:inline>
                  <wp:extent cx="5943600" cy="2601032"/>
                  <wp:effectExtent b="0" l="0" r="0" t="0"/>
                  <wp:docPr descr="" title="" id="58" name="Picture"/>
                  <a:graphic>
                    <a:graphicData uri="http://schemas.openxmlformats.org/drawingml/2006/picture">
                      <pic:pic>
                        <pic:nvPicPr>
                          <pic:cNvPr descr="figure5.png" id="59" name="Picture"/>
                          <pic:cNvPicPr>
                            <a:picLocks noChangeArrowheads="1" noChangeAspect="1"/>
                          </pic:cNvPicPr>
                        </pic:nvPicPr>
                        <pic:blipFill>
                          <a:blip r:embed="rId57"/>
                          <a:stretch>
                            <a:fillRect/>
                          </a:stretch>
                        </pic:blipFill>
                        <pic:spPr bwMode="auto">
                          <a:xfrm>
                            <a:off x="0" y="0"/>
                            <a:ext cx="5943600" cy="2601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skin HPV DNA reservoir, from public metagenomes, against its transcriptional silence here. Re-tabulation of the Logan-wide papillomavirus catalog</w:t>
            </w:r>
            <w:r>
              <w:t xml:space="preserve"> </w:t>
            </w:r>
            <w:r>
              <w:t xml:space="preserve">(J. Y. Q. Shen et al. 2026)</w:t>
            </w:r>
            <w:r>
              <w:t xml:space="preserve"> </w:t>
            </w:r>
            <w:r>
              <w:t xml:space="preserve">by body site (Methods), restricted to skin; the body-site comparison that validates the read-out is</w:t>
            </w:r>
            <w:r>
              <w:t xml:space="preserve"> </w:t>
            </w:r>
            <w:hyperlink w:anchor="suppfig-reservoir-gut">
              <w:r>
                <w:rPr>
                  <w:rStyle w:val="Hyperlink"/>
                </w:rPr>
                <w:t xml:space="preserve">Figure S4</w:t>
              </w:r>
            </w:hyperlink>
            <w:r>
              <w:t xml:space="preserve">. (</w:t>
            </w:r>
            <w:r>
              <w:rPr>
                <w:b/>
                <w:bCs/>
              </w:rPr>
              <w:t xml:space="preserve">A</w:t>
            </w:r>
            <w:r>
              <w:t xml:space="preserve">) The 14 most frequent types in the skin reservoir, as the percentage of the 1,735 HPV-positive skin DNA libraries, colored by genus. The list runs to 14 rather than a round ten so that it reaches HPV2, the type panel B singles out, and because ranks 12 to 14 are tied on library count, so a shorter list would split a tie. A library carrying two types of different genera contributes to both, and the denominator is the site’s HPV-positive libraries, so nothing in this figure depends on how many metagenomes were screened. The two cells to the right of each bar are that type’s detections among the 7,800 unselected-skin RNA libraries of this study, in the assigned catalog of</w:t>
            </w:r>
            <w:r>
              <w:t xml:space="preserve"> </w:t>
            </w:r>
            <w:hyperlink w:anchor="supptbl-types">
              <w:r>
                <w:rPr>
                  <w:rStyle w:val="Hyperlink"/>
                </w:rPr>
                <w:t xml:space="preserve">Table S1</w:t>
              </w:r>
            </w:hyperlink>
            <w:r>
              <w:t xml:space="preserve"> </w:t>
            </w:r>
            <w:r>
              <w:t xml:space="preserve">and the detection-level catalog of</w:t>
            </w:r>
            <w:r>
              <w:t xml:space="preserve"> </w:t>
            </w:r>
            <w:hyperlink w:anchor="supptbl-trace">
              <w:r>
                <w:rPr>
                  <w:rStyle w:val="Hyperlink"/>
                </w:rPr>
                <w:t xml:space="preserve">Table S6</w:t>
              </w:r>
            </w:hyperlink>
            <w:r>
              <w:t xml:space="preserve"> </w:t>
            </w:r>
            <w:r>
              <w:t xml:space="preserve">respectively; cells are shaded only where the count is non-zero, so the blank assigned column is the reservoir’s transcriptional silence read straight off the figure. Every one of them is absent from the assigned RNA catalog of unselected skin, and present at most as a handful of trace-level detections. HPV2 is the only alpha type among them, and the only one that is productive anywhere in this study. (</w:t>
            </w:r>
            <w:r>
              <w:rPr>
                <w:b/>
                <w:bCs/>
              </w:rPr>
              <w:t xml:space="preserve">B</w:t>
            </w:r>
            <w:r>
              <w:t xml:space="preserve">) The same comparison across all 130 types resolved in either modality: how many skin DNA libraries carry the type, against how many libraries of this study transcribe it productively (warts and EV), both on a log</w:t>
            </w:r>
            <w:r>
              <w:rPr>
                <w:vertAlign w:val="subscript"/>
              </w:rPr>
              <w:t xml:space="preserve">10</w:t>
            </w:r>
            <w:r>
              <w:t xml:space="preserve">(</w:t>
            </w:r>
            <w:r>
              <w:rPr>
                <w:i/>
                <w:iCs/>
              </w:rPr>
              <w:t xml:space="preserve">n</w:t>
            </w:r>
            <w:r>
              <w:t xml:space="preserve"> </w:t>
            </w:r>
            <w:r>
              <w:t xml:space="preserve">+ 1) scale with points jittered to separate ties. Types at either extreme are labelled. The shaded corner is the conjunction the reservoir-to-disease inference assumes, abundant in skin DNA (≥ 15 libraries)</w:t>
            </w:r>
            <w:r>
              <w:t xml:space="preserve"> </w:t>
            </w:r>
            <w:r>
              <w:rPr>
                <w:i/>
                <w:iCs/>
              </w:rPr>
              <w:t xml:space="preserve">and</w:t>
            </w:r>
            <w:r>
              <w:t xml:space="preserve"> </w:t>
            </w:r>
            <w:r>
              <w:t xml:space="preserve">productive in RNA (≥ 5 libraries); HPV2 is the only type in it. 102 of the 115 types present in the skin reservoir are productive in no library at all, and 9 of the 22 productive types are absent from skin DNA entirely.</w:t>
            </w:r>
          </w:p>
          <w:bookmarkEnd w:id="60"/>
        </w:tc>
      </w:tr>
    </w:tbl>
    <w:bookmarkEnd w:id="61"/>
    <w:bookmarkStart w:id="62"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artifacts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summarizing each effect by its posterior median odds ratio, 95% credible interval (CrI) and posterior probability of direction (</w:t>
      </w:r>
      <w:hyperlink w:anchor="supptbl-bayes">
        <w:r>
          <w:rPr>
            <w:rStyle w:val="Hyperlink"/>
          </w:rPr>
          <w:t xml:space="preserve">Table S3</w:t>
        </w:r>
      </w:hyperlink>
      <w:r>
        <w:t xml:space="preserve">, drawn as a forest plot in</w:t>
      </w:r>
      <w:r>
        <w:t xml:space="preserve"> </w:t>
      </w:r>
      <w:hyperlink w:anchor="suppfig-bayes">
        <w:r>
          <w:rPr>
            <w:rStyle w:val="Hyperlink"/>
          </w:rPr>
          <w:t xml:space="preserve">Figure S5</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regularized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artifact.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62"/>
    <w:bookmarkEnd w:id="63"/>
    <w:bookmarkStart w:id="73"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artifact of how deeply the libraries were sequenced. Third, the same assay readily detects productive infection where it genuinely occurs: in warts and epidermodysplasia verruciformis (EV), and in a minority of bona fide primary-skin lesions carrying beta- and alpha-HPV.</w:t>
      </w:r>
    </w:p>
    <w:bookmarkStart w:id="64"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group’s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artifact of shallow sequencing. Nor is the literature unanimous: in situ hybridization on PCR-positive transplant-recipient cSCC demonstrated EV-HPV transcripts in 4 of 11 tumours, localized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colonization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localized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immortalization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randomized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neutralizing the resident virus. Our result is consistent with that reading rather than in tension with it, since an immunological intervention can reduce lesion burden without productive viral replication being present to target.</w:t>
      </w:r>
    </w:p>
    <w:bookmarkEnd w:id="64"/>
    <w:bookmarkStart w:id="65"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harbored unambiguous productive infection, most strikingly an HPV12-productive cSCC and two lesions co-infected with the beta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group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65"/>
    <w:bookmarkStart w:id="66"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6"/>
    <w:bookmarkStart w:id="67" w:name="X91a902f70c1d8887abf473463cc49053a4d6d2d"/>
    <w:p>
      <w:pPr>
        <w:pStyle w:val="Heading3"/>
      </w:pPr>
      <w:r>
        <w:t xml:space="preserve">Actinic keratosis, HPV8, and what a bulk transcriptome cannot see</w:t>
      </w:r>
    </w:p>
    <w:p>
      <w:pPr>
        <w:pStyle w:val="FirstParagraph"/>
      </w:pPr>
      <w:r>
        <w:t xml:space="preserve">The precursor end of the neoplasia group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DNA side of the same question is not silent, which sharpens rather than resolves it: the independent metagenome catalog places HPV8 in 63 of 1,735 HPV-positive skin libraries, the eighth commonest type in that reservoir (</w:t>
      </w:r>
      <w:hyperlink w:anchor="fig-reservoir">
        <w:r>
          <w:rPr>
            <w:rStyle w:val="Hyperlink"/>
          </w:rPr>
          <w:t xml:space="preserve">Figure 5</w:t>
        </w:r>
      </w:hyperlink>
      <w:r>
        <w:t xml:space="preserve"> </w:t>
      </w:r>
      <w:r>
        <w:t xml:space="preserve">A), against 0 detections at any level here. The type most often named as the cutaneous carcinoma candidate is thus present on skin and, in this cohort, never transcribed above the detection floor.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7"/>
    <w:bookmarkStart w:id="68"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center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center,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operationalization and measurement on one cohort: explicit cell-line, engineered and in-vitro annotation, study-level curation, dual breadth-and-depth typing thresholds, a control-calibrated productivity floor, and burden normalized for both depth and library chemistry, with the size of the artifact each is guarding against reported rather than asserted. That combination generalizes beyond HPV.</w:t>
      </w:r>
    </w:p>
    <w:bookmarkEnd w:id="68"/>
    <w:bookmarkStart w:id="69"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9"/>
    <w:bookmarkStart w:id="70" w:name="Xa3766159b615d4715a6c4217379182cf93237f3"/>
    <w:p>
      <w:pPr>
        <w:pStyle w:val="Heading3"/>
      </w:pPr>
      <w:r>
        <w:t xml:space="preserve">What a petabase catalog does and does not measure</w:t>
      </w:r>
    </w:p>
    <w:p>
      <w:pPr>
        <w:pStyle w:val="FirstParagraph"/>
      </w:pPr>
      <w:r>
        <w:t xml:space="preserve">The DNA axis used here is a catalog, and catalogs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 because it carries a detectable L1. Three consequences follow, and together they bound what any comparison against such a resource can claim. First, presence in the catalog means L1-detectable presence, and carries no information about the state of the viral genome. Second, the catalog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 membership, which is what the E1:E2 ratio and the virus-host junctions do above. The point generalizes beyond papillomaviruses: petabase-scale surveys are now the standard way to establish that a virus is present in a body site, and a presence count from such a survey is not evidence of an active infection. Within those bounds the catalog is exactly the right instrument for the one job it is given here. Read as presence and nothing more, it establishes independently of our pipeline, our modality and our cohort that the cutaneous beta/gamma reservoir this survey reports as quiet is really there, in the expected genera and the expected types (</w:t>
      </w:r>
      <w:hyperlink w:anchor="fig-reservoir">
        <w:r>
          <w:rPr>
            <w:rStyle w:val="Hyperlink"/>
          </w:rPr>
          <w:t xml:space="preserve">Figure 5</w:t>
        </w:r>
      </w:hyperlink>
      <w:r>
        <w:t xml:space="preserve">), so the negative result is a statement about activity rather than about whether the virus was present to be transcribed. The two arms nonetheless sample different compartments, surface swabs against bulk tissue, as set out above; that difference bounds any quantitative comparison between them, which is why the reservoir is used here as corroboration of presence and never as a denominator for the transcriptional rate.</w:t>
      </w:r>
    </w:p>
    <w:bookmarkEnd w:id="70"/>
    <w:bookmarkStart w:id="71"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group reported here as non-productive is the one more often built with the favorable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localizes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group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although the transcripts themselves bound the problem: decomposing the below-floor libraries by gene shows that 63% carry no reads on any HPV gene and are best read as a k-mer and cross-mapping floor, while a minority carry early-gene transcripts without the late programme, the signature of latent or abortive infection, on cutaneous rather than mucosal types (</w:t>
      </w:r>
      <w:hyperlink w:anchor="suppfig-trace">
        <w:r>
          <w:rPr>
            <w:rStyle w:val="Hyperlink"/>
          </w:rPr>
          <w:t xml:space="preserve">Figure S2</w:t>
        </w:r>
      </w:hyperlink>
      <w:r>
        <w:t xml:space="preserve">). The sub-threshold trace is therefore neither wholly artifactual nor productive.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71"/>
    <w:bookmarkStart w:id="72"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normalization for both depth and library chemistry, provides a scalable foundation for identifying the cohorts worth taking to that resolution.</w:t>
      </w:r>
    </w:p>
    <w:bookmarkEnd w:id="72"/>
    <w:bookmarkEnd w:id="73"/>
    <w:bookmarkStart w:id="76"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74">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75">
        <w:r>
          <w:rPr>
            <w:rStyle w:val="Hyperlink"/>
          </w:rPr>
          <w:t xml:space="preserve">https://pave.niaid.nih.gov</w:t>
        </w:r>
      </w:hyperlink>
      <w:r>
        <w:t xml:space="preserve">) and NCBI RefSeq. No new sequencing data were generated.</w:t>
      </w:r>
    </w:p>
    <w:bookmarkEnd w:id="76"/>
    <w:bookmarkStart w:id="77" w:name="orcids"/>
    <w:p>
      <w:pPr>
        <w:pStyle w:val="Heading2"/>
      </w:pPr>
      <w:r>
        <w:t xml:space="preserve">ORCiDs</w:t>
      </w:r>
    </w:p>
    <w:p>
      <w:pPr>
        <w:pStyle w:val="FirstParagraph"/>
      </w:pPr>
      <w:r>
        <w:t xml:space="preserve">[To be completed: ORCiD for each author.]</w:t>
      </w:r>
    </w:p>
    <w:bookmarkEnd w:id="77"/>
    <w:bookmarkStart w:id="78"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78"/>
    <w:bookmarkStart w:id="79"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79"/>
    <w:bookmarkStart w:id="80"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80"/>
    <w:bookmarkStart w:id="213" w:name="references"/>
    <w:p>
      <w:pPr>
        <w:pStyle w:val="Heading2"/>
      </w:pPr>
      <w:r>
        <w:t xml:space="preserve">References</w:t>
      </w:r>
    </w:p>
    <w:bookmarkStart w:id="212" w:name="refs"/>
    <w:bookmarkStart w:id="82"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81">
        <w:r>
          <w:rPr>
            <w:rStyle w:val="Hyperlink"/>
          </w:rPr>
          <w:t xml:space="preserve">https://doi.org/10.1038/nature12064</w:t>
        </w:r>
      </w:hyperlink>
      <w:r>
        <w:t xml:space="preserve">.</w:t>
      </w:r>
    </w:p>
    <w:bookmarkEnd w:id="82"/>
    <w:bookmarkStart w:id="84"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83">
        <w:r>
          <w:rPr>
            <w:rStyle w:val="Hyperlink"/>
          </w:rPr>
          <w:t xml:space="preserve">https://doi.org/10.1128/JVI.74.24.11636-11641.2000</w:t>
        </w:r>
      </w:hyperlink>
      <w:r>
        <w:t xml:space="preserve">.</w:t>
      </w:r>
    </w:p>
    <w:bookmarkEnd w:id="84"/>
    <w:bookmarkStart w:id="86"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85">
        <w:r>
          <w:rPr>
            <w:rStyle w:val="Hyperlink"/>
          </w:rPr>
          <w:t xml:space="preserve">https://doi.org/10.1038/jid.2011.91</w:t>
        </w:r>
      </w:hyperlink>
      <w:r>
        <w:t xml:space="preserve">.</w:t>
      </w:r>
    </w:p>
    <w:bookmarkEnd w:id="86"/>
    <w:bookmarkStart w:id="88"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87">
        <w:r>
          <w:rPr>
            <w:rStyle w:val="Hyperlink"/>
          </w:rPr>
          <w:t xml:space="preserve">https://doi.org/10.1002/ijc.33683</w:t>
        </w:r>
      </w:hyperlink>
      <w:r>
        <w:t xml:space="preserve">.</w:t>
      </w:r>
    </w:p>
    <w:bookmarkEnd w:id="88"/>
    <w:bookmarkStart w:id="90"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89">
        <w:r>
          <w:rPr>
            <w:rStyle w:val="Hyperlink"/>
          </w:rPr>
          <w:t xml:space="preserve">https://doi.org/10.1016/j.cmi.2019.04.028</w:t>
        </w:r>
      </w:hyperlink>
      <w:r>
        <w:t xml:space="preserve">.</w:t>
      </w:r>
    </w:p>
    <w:bookmarkEnd w:id="90"/>
    <w:bookmarkStart w:id="92"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91">
        <w:r>
          <w:rPr>
            <w:rStyle w:val="Hyperlink"/>
          </w:rPr>
          <w:t xml:space="preserve">https://doi.org/10.1152/physiolgenomics.00093.2024</w:t>
        </w:r>
      </w:hyperlink>
      <w:r>
        <w:t xml:space="preserve">.</w:t>
      </w:r>
    </w:p>
    <w:bookmarkEnd w:id="92"/>
    <w:bookmarkStart w:id="93"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93"/>
    <w:bookmarkStart w:id="95"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94">
        <w:r>
          <w:rPr>
            <w:rStyle w:val="Hyperlink"/>
          </w:rPr>
          <w:t xml:space="preserve">https://doi.org/10.3389/fmicb.2018.00117</w:t>
        </w:r>
      </w:hyperlink>
      <w:r>
        <w:t xml:space="preserve">.</w:t>
      </w:r>
    </w:p>
    <w:bookmarkEnd w:id="95"/>
    <w:bookmarkStart w:id="97"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96">
        <w:r>
          <w:rPr>
            <w:rStyle w:val="Hyperlink"/>
          </w:rPr>
          <w:t xml:space="preserve">https://doi.org/10.1158/1055-9965.EPI-09-0025</w:t>
        </w:r>
      </w:hyperlink>
      <w:r>
        <w:t xml:space="preserve">.</w:t>
      </w:r>
    </w:p>
    <w:bookmarkEnd w:id="97"/>
    <w:bookmarkStart w:id="99"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98">
        <w:r>
          <w:rPr>
            <w:rStyle w:val="Hyperlink"/>
          </w:rPr>
          <w:t xml:space="preserve">https://doi.org/10.1038/srep05807</w:t>
        </w:r>
      </w:hyperlink>
      <w:r>
        <w:t xml:space="preserve">.</w:t>
      </w:r>
    </w:p>
    <w:bookmarkEnd w:id="99"/>
    <w:bookmarkStart w:id="100"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100"/>
    <w:bookmarkStart w:id="102"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101">
        <w:r>
          <w:rPr>
            <w:rStyle w:val="Hyperlink"/>
          </w:rPr>
          <w:t xml:space="preserve">https://doi.org/10.1128/JVI.03365-14</w:t>
        </w:r>
      </w:hyperlink>
      <w:r>
        <w:t xml:space="preserve">.</w:t>
      </w:r>
    </w:p>
    <w:bookmarkEnd w:id="102"/>
    <w:bookmarkStart w:id="104"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103">
        <w:r>
          <w:rPr>
            <w:rStyle w:val="Hyperlink"/>
          </w:rPr>
          <w:t xml:space="preserve">https://doi.org/10.1016/j.coviro.2019.07.010</w:t>
        </w:r>
      </w:hyperlink>
      <w:r>
        <w:t xml:space="preserve">.</w:t>
      </w:r>
    </w:p>
    <w:bookmarkEnd w:id="104"/>
    <w:bookmarkStart w:id="106"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105">
        <w:r>
          <w:rPr>
            <w:rStyle w:val="Hyperlink"/>
          </w:rPr>
          <w:t xml:space="preserve">https://doi.org/10.1093/bioinformatics/bty560</w:t>
        </w:r>
      </w:hyperlink>
      <w:r>
        <w:t xml:space="preserve">.</w:t>
      </w:r>
    </w:p>
    <w:bookmarkEnd w:id="106"/>
    <w:bookmarkStart w:id="108"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107">
        <w:r>
          <w:rPr>
            <w:rStyle w:val="Hyperlink"/>
          </w:rPr>
          <w:t xml:space="preserve">https://doi.org/10.1128/JCM.01785-07</w:t>
        </w:r>
      </w:hyperlink>
      <w:r>
        <w:t xml:space="preserve">.</w:t>
      </w:r>
    </w:p>
    <w:bookmarkEnd w:id="108"/>
    <w:bookmarkStart w:id="110"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109">
        <w:r>
          <w:rPr>
            <w:rStyle w:val="Hyperlink"/>
          </w:rPr>
          <w:t xml:space="preserve">https://doi.org/10.1101/2024.07.30.605881</w:t>
        </w:r>
      </w:hyperlink>
      <w:r>
        <w:t xml:space="preserve">.</w:t>
      </w:r>
    </w:p>
    <w:bookmarkEnd w:id="110"/>
    <w:bookmarkStart w:id="112"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11">
        <w:r>
          <w:rPr>
            <w:rStyle w:val="Hyperlink"/>
          </w:rPr>
          <w:t xml:space="preserve">https://doi.org/10.3802/jgo.2018.29.e38</w:t>
        </w:r>
      </w:hyperlink>
      <w:r>
        <w:t xml:space="preserve">.</w:t>
      </w:r>
    </w:p>
    <w:bookmarkEnd w:id="112"/>
    <w:bookmarkStart w:id="114"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13">
        <w:r>
          <w:rPr>
            <w:rStyle w:val="Hyperlink"/>
          </w:rPr>
          <w:t xml:space="preserve">https://doi.org/10.1158/0008-5472.CAN-08-3099</w:t>
        </w:r>
      </w:hyperlink>
      <w:r>
        <w:t xml:space="preserve">.</w:t>
      </w:r>
    </w:p>
    <w:bookmarkEnd w:id="114"/>
    <w:bookmarkStart w:id="116"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15">
        <w:r>
          <w:rPr>
            <w:rStyle w:val="Hyperlink"/>
          </w:rPr>
          <w:t xml:space="preserve">https://doi.org/10.1093/gigascience/giab008</w:t>
        </w:r>
      </w:hyperlink>
      <w:r>
        <w:t xml:space="preserve">.</w:t>
      </w:r>
    </w:p>
    <w:bookmarkEnd w:id="116"/>
    <w:bookmarkStart w:id="118"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17">
        <w:r>
          <w:rPr>
            <w:rStyle w:val="Hyperlink"/>
          </w:rPr>
          <w:t xml:space="preserve">https://doi.org/10.1016/j.virol.2019.08.007</w:t>
        </w:r>
      </w:hyperlink>
      <w:r>
        <w:t xml:space="preserve">.</w:t>
      </w:r>
    </w:p>
    <w:bookmarkEnd w:id="118"/>
    <w:bookmarkStart w:id="120"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19">
        <w:r>
          <w:rPr>
            <w:rStyle w:val="Hyperlink"/>
          </w:rPr>
          <w:t xml:space="preserve">https://doi.org/10.1038/nbt.3820</w:t>
        </w:r>
      </w:hyperlink>
      <w:r>
        <w:t xml:space="preserve">.</w:t>
      </w:r>
    </w:p>
    <w:bookmarkEnd w:id="120"/>
    <w:bookmarkStart w:id="122"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21">
        <w:r>
          <w:rPr>
            <w:rStyle w:val="Hyperlink"/>
          </w:rPr>
          <w:t xml:space="preserve">https://doi.org/10.1093/bioinformatics/bts635</w:t>
        </w:r>
      </w:hyperlink>
      <w:r>
        <w:t xml:space="preserve">.</w:t>
      </w:r>
    </w:p>
    <w:bookmarkEnd w:id="122"/>
    <w:bookmarkStart w:id="123"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23"/>
    <w:bookmarkStart w:id="124"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24"/>
    <w:bookmarkStart w:id="125"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25"/>
    <w:bookmarkStart w:id="127"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26">
        <w:r>
          <w:rPr>
            <w:rStyle w:val="Hyperlink"/>
          </w:rPr>
          <w:t xml:space="preserve">https://doi.org/10.1038/s41586-021-04332-2</w:t>
        </w:r>
      </w:hyperlink>
      <w:r>
        <w:t xml:space="preserve">.</w:t>
      </w:r>
    </w:p>
    <w:bookmarkEnd w:id="127"/>
    <w:bookmarkStart w:id="128"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28"/>
    <w:bookmarkStart w:id="130"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29">
        <w:r>
          <w:rPr>
            <w:rStyle w:val="Hyperlink"/>
          </w:rPr>
          <w:t xml:space="preserve">https://doi.org/10.1016/j.xgen.2022.100211</w:t>
        </w:r>
      </w:hyperlink>
      <w:r>
        <w:t xml:space="preserve">.</w:t>
      </w:r>
    </w:p>
    <w:bookmarkEnd w:id="130"/>
    <w:bookmarkStart w:id="131"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31"/>
    <w:bookmarkStart w:id="133"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32">
        <w:r>
          <w:rPr>
            <w:rStyle w:val="Hyperlink"/>
          </w:rPr>
          <w:t xml:space="preserve">https://doi.org/10.1097/DAD.0000000000001289</w:t>
        </w:r>
      </w:hyperlink>
      <w:r>
        <w:t xml:space="preserve">.</w:t>
      </w:r>
    </w:p>
    <w:bookmarkEnd w:id="133"/>
    <w:bookmarkStart w:id="135"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34">
        <w:r>
          <w:rPr>
            <w:rStyle w:val="Hyperlink"/>
          </w:rPr>
          <w:t xml:space="preserve">https://doi.org/10.1128/mbio.01607-23</w:t>
        </w:r>
      </w:hyperlink>
      <w:r>
        <w:t xml:space="preserve">.</w:t>
      </w:r>
    </w:p>
    <w:bookmarkEnd w:id="135"/>
    <w:bookmarkStart w:id="137"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36">
        <w:r>
          <w:rPr>
            <w:rStyle w:val="Hyperlink"/>
          </w:rPr>
          <w:t xml:space="preserve">https://mc-stan.org/rstanarm/</w:t>
        </w:r>
      </w:hyperlink>
      <w:r>
        <w:t xml:space="preserve">.</w:t>
      </w:r>
    </w:p>
    <w:bookmarkEnd w:id="137"/>
    <w:bookmarkStart w:id="138"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38"/>
    <w:bookmarkStart w:id="139"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39"/>
    <w:bookmarkStart w:id="141"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40">
        <w:r>
          <w:rPr>
            <w:rStyle w:val="Hyperlink"/>
          </w:rPr>
          <w:t xml:space="preserve">https://doi.org/10.1371/journal.pone.0217942</w:t>
        </w:r>
      </w:hyperlink>
      <w:r>
        <w:t xml:space="preserve">.</w:t>
      </w:r>
    </w:p>
    <w:bookmarkEnd w:id="141"/>
    <w:bookmarkStart w:id="142"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42"/>
    <w:bookmarkStart w:id="144"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43">
        <w:r>
          <w:rPr>
            <w:rStyle w:val="Hyperlink"/>
          </w:rPr>
          <w:t xml:space="preserve">https://doi.org/10.1084/jem.20170308</w:t>
        </w:r>
      </w:hyperlink>
      <w:r>
        <w:t xml:space="preserve">.</w:t>
      </w:r>
    </w:p>
    <w:bookmarkEnd w:id="144"/>
    <w:bookmarkStart w:id="145"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45"/>
    <w:bookmarkStart w:id="147"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46">
        <w:r>
          <w:rPr>
            <w:rStyle w:val="Hyperlink"/>
          </w:rPr>
          <w:t xml:space="preserve">https://doi.org/10.1128/JVI.00822-15</w:t>
        </w:r>
      </w:hyperlink>
      <w:r>
        <w:t xml:space="preserve">.</w:t>
      </w:r>
    </w:p>
    <w:bookmarkEnd w:id="147"/>
    <w:bookmarkStart w:id="148"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48"/>
    <w:bookmarkStart w:id="150"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49">
        <w:r>
          <w:rPr>
            <w:rStyle w:val="Hyperlink"/>
          </w:rPr>
          <w:t xml:space="preserve">https://doi.org/10.1038/s41586-020-3023-0</w:t>
        </w:r>
      </w:hyperlink>
      <w:r>
        <w:t xml:space="preserve">.</w:t>
      </w:r>
    </w:p>
    <w:bookmarkEnd w:id="150"/>
    <w:bookmarkStart w:id="151"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51"/>
    <w:bookmarkStart w:id="153"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52">
        <w:r>
          <w:rPr>
            <w:rStyle w:val="Hyperlink"/>
          </w:rPr>
          <w:t xml:space="preserve">https://doi.org/10.1158/2159-8290.CD-22-0489</w:t>
        </w:r>
      </w:hyperlink>
      <w:r>
        <w:t xml:space="preserve">.</w:t>
      </w:r>
    </w:p>
    <w:bookmarkEnd w:id="153"/>
    <w:bookmarkStart w:id="155"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54">
        <w:r>
          <w:rPr>
            <w:rStyle w:val="Hyperlink"/>
          </w:rPr>
          <w:t xml:space="preserve">https://doi.org/10.1093/nar/gkq1019</w:t>
        </w:r>
      </w:hyperlink>
      <w:r>
        <w:t xml:space="preserve">.</w:t>
      </w:r>
    </w:p>
    <w:bookmarkEnd w:id="155"/>
    <w:bookmarkStart w:id="157"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56">
        <w:r>
          <w:rPr>
            <w:rStyle w:val="Hyperlink"/>
          </w:rPr>
          <w:t xml:space="preserve">https://doi.org/10.1158/1078-0432.CCR-25-0645</w:t>
        </w:r>
      </w:hyperlink>
      <w:r>
        <w:t xml:space="preserve">.</w:t>
      </w:r>
    </w:p>
    <w:bookmarkEnd w:id="157"/>
    <w:bookmarkStart w:id="159"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58">
        <w:r>
          <w:rPr>
            <w:rStyle w:val="Hyperlink"/>
          </w:rPr>
          <w:t xml:space="preserve">https://doi.org/10.1093/bioinformatics/btt656</w:t>
        </w:r>
      </w:hyperlink>
      <w:r>
        <w:t xml:space="preserve">.</w:t>
      </w:r>
    </w:p>
    <w:bookmarkEnd w:id="159"/>
    <w:bookmarkStart w:id="161"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60">
        <w:r>
          <w:rPr>
            <w:rStyle w:val="Hyperlink"/>
          </w:rPr>
          <w:t xml:space="preserve">https://doi.org/10.1128/JVI.00093-14</w:t>
        </w:r>
      </w:hyperlink>
      <w:r>
        <w:t xml:space="preserve">.</w:t>
      </w:r>
    </w:p>
    <w:bookmarkEnd w:id="161"/>
    <w:bookmarkStart w:id="162"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62"/>
    <w:bookmarkStart w:id="163"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63"/>
    <w:bookmarkStart w:id="165"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64">
        <w:r>
          <w:rPr>
            <w:rStyle w:val="Hyperlink"/>
          </w:rPr>
          <w:t xml:space="preserve">https://doi.org/10.1172/jci.insight.177898</w:t>
        </w:r>
      </w:hyperlink>
      <w:r>
        <w:t xml:space="preserve">.</w:t>
      </w:r>
    </w:p>
    <w:bookmarkEnd w:id="165"/>
    <w:bookmarkStart w:id="166"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66"/>
    <w:bookmarkStart w:id="16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67">
        <w:r>
          <w:rPr>
            <w:rStyle w:val="Hyperlink"/>
          </w:rPr>
          <w:t xml:space="preserve">https://doi.org/10.1001/jamadermatol.2026.0308</w:t>
        </w:r>
      </w:hyperlink>
      <w:r>
        <w:t xml:space="preserve">.</w:t>
      </w:r>
    </w:p>
    <w:bookmarkEnd w:id="168"/>
    <w:bookmarkStart w:id="169"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69"/>
    <w:bookmarkStart w:id="171"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70">
        <w:r>
          <w:rPr>
            <w:rStyle w:val="Hyperlink"/>
          </w:rPr>
          <w:t xml:space="preserve">https://doi.org/10.1111/j.0022-202X.2005.23635.x</w:t>
        </w:r>
      </w:hyperlink>
      <w:r>
        <w:t xml:space="preserve">.</w:t>
      </w:r>
    </w:p>
    <w:bookmarkEnd w:id="171"/>
    <w:bookmarkStart w:id="173"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72">
        <w:r>
          <w:rPr>
            <w:rStyle w:val="Hyperlink"/>
          </w:rPr>
          <w:t xml:space="preserve">https://doi.org/10.1038/ng1044</w:t>
        </w:r>
      </w:hyperlink>
      <w:r>
        <w:t xml:space="preserve">.</w:t>
      </w:r>
    </w:p>
    <w:bookmarkEnd w:id="173"/>
    <w:bookmarkStart w:id="175"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74">
        <w:r>
          <w:rPr>
            <w:rStyle w:val="Hyperlink"/>
          </w:rPr>
          <w:t xml:space="preserve">https://doi.org/10.1073/pnas.2118930119</w:t>
        </w:r>
      </w:hyperlink>
      <w:r>
        <w:t xml:space="preserve">.</w:t>
      </w:r>
    </w:p>
    <w:bookmarkEnd w:id="175"/>
    <w:bookmarkStart w:id="177"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76">
        <w:r>
          <w:rPr>
            <w:rStyle w:val="Hyperlink"/>
          </w:rPr>
          <w:t xml:space="preserve">https://doi.org/10.1158/0008-5472.CAN-21-0805</w:t>
        </w:r>
      </w:hyperlink>
      <w:r>
        <w:t xml:space="preserve">.</w:t>
      </w:r>
    </w:p>
    <w:bookmarkEnd w:id="177"/>
    <w:bookmarkStart w:id="179"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78">
        <w:r>
          <w:rPr>
            <w:rStyle w:val="Hyperlink"/>
          </w:rPr>
          <w:t xml:space="preserve">https://doi.org/10.1093/infdis/jiy577</w:t>
        </w:r>
      </w:hyperlink>
      <w:r>
        <w:t xml:space="preserve">.</w:t>
      </w:r>
    </w:p>
    <w:bookmarkEnd w:id="179"/>
    <w:bookmarkStart w:id="181"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80">
        <w:r>
          <w:rPr>
            <w:rStyle w:val="Hyperlink"/>
          </w:rPr>
          <w:t xml:space="preserve">https://doi.org/10.1128/JVI.01003-18</w:t>
        </w:r>
      </w:hyperlink>
      <w:r>
        <w:t xml:space="preserve">.</w:t>
      </w:r>
    </w:p>
    <w:bookmarkEnd w:id="181"/>
    <w:bookmarkStart w:id="183"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82">
        <w:r>
          <w:rPr>
            <w:rStyle w:val="Hyperlink"/>
          </w:rPr>
          <w:t xml:space="preserve">https://doi.org/10.1172/jci.insight.162558</w:t>
        </w:r>
      </w:hyperlink>
      <w:r>
        <w:t xml:space="preserve">.</w:t>
      </w:r>
    </w:p>
    <w:bookmarkEnd w:id="183"/>
    <w:bookmarkStart w:id="185"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84">
        <w:r>
          <w:rPr>
            <w:rStyle w:val="Hyperlink"/>
          </w:rPr>
          <w:t xml:space="preserve">https://doi.org/10.1186/s12864-020-6483-6</w:t>
        </w:r>
      </w:hyperlink>
      <w:r>
        <w:t xml:space="preserve">.</w:t>
      </w:r>
    </w:p>
    <w:bookmarkEnd w:id="185"/>
    <w:bookmarkStart w:id="187"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86">
        <w:r>
          <w:rPr>
            <w:rStyle w:val="Hyperlink"/>
          </w:rPr>
          <w:t xml:space="preserve">https://doi.org/10.64898/2026.04.21.719858</w:t>
        </w:r>
      </w:hyperlink>
      <w:r>
        <w:t xml:space="preserve">.</w:t>
      </w:r>
    </w:p>
    <w:bookmarkEnd w:id="187"/>
    <w:bookmarkStart w:id="189"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88">
        <w:r>
          <w:rPr>
            <w:rStyle w:val="Hyperlink"/>
          </w:rPr>
          <w:t xml:space="preserve">https://doi.org/10.1371/journal.pone.0163962</w:t>
        </w:r>
      </w:hyperlink>
      <w:r>
        <w:t xml:space="preserve">.</w:t>
      </w:r>
    </w:p>
    <w:bookmarkEnd w:id="189"/>
    <w:bookmarkStart w:id="191"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90">
        <w:r>
          <w:rPr>
            <w:rStyle w:val="Hyperlink"/>
          </w:rPr>
          <w:t xml:space="preserve">https://doi.org/10.1016/j.ccell.2024.11.013</w:t>
        </w:r>
      </w:hyperlink>
      <w:r>
        <w:t xml:space="preserve">.</w:t>
      </w:r>
    </w:p>
    <w:bookmarkEnd w:id="191"/>
    <w:bookmarkStart w:id="193"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92">
        <w:r>
          <w:rPr>
            <w:rStyle w:val="Hyperlink"/>
          </w:rPr>
          <w:t xml:space="preserve">https://doi.org/10.1038/s41586-019-1719-9</w:t>
        </w:r>
      </w:hyperlink>
      <w:r>
        <w:t xml:space="preserve">.</w:t>
      </w:r>
    </w:p>
    <w:bookmarkEnd w:id="193"/>
    <w:bookmarkStart w:id="195"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94">
        <w:r>
          <w:rPr>
            <w:rStyle w:val="Hyperlink"/>
          </w:rPr>
          <w:t xml:space="preserve">https://doi.org/10.1038/s41586-020-3024-z</w:t>
        </w:r>
      </w:hyperlink>
      <w:r>
        <w:t xml:space="preserve">.</w:t>
      </w:r>
    </w:p>
    <w:bookmarkEnd w:id="195"/>
    <w:bookmarkStart w:id="196"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96"/>
    <w:bookmarkStart w:id="198"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97">
        <w:r>
          <w:rPr>
            <w:rStyle w:val="Hyperlink"/>
          </w:rPr>
          <w:t xml:space="preserve">https://doi.org/10.1093/nar/gkw879</w:t>
        </w:r>
      </w:hyperlink>
      <w:r>
        <w:t xml:space="preserve">.</w:t>
      </w:r>
    </w:p>
    <w:bookmarkEnd w:id="198"/>
    <w:bookmarkStart w:id="200"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99">
        <w:r>
          <w:rPr>
            <w:rStyle w:val="Hyperlink"/>
          </w:rPr>
          <w:t xml:space="preserve">https://doi.org/10.1111/exd.14385</w:t>
        </w:r>
      </w:hyperlink>
      <w:r>
        <w:t xml:space="preserve">.</w:t>
      </w:r>
    </w:p>
    <w:bookmarkEnd w:id="200"/>
    <w:bookmarkStart w:id="202"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201">
        <w:r>
          <w:rPr>
            <w:rStyle w:val="Hyperlink"/>
          </w:rPr>
          <w:t xml:space="preserve">https://doi.org/10.1371/journal.ppat.1006783</w:t>
        </w:r>
      </w:hyperlink>
      <w:r>
        <w:t xml:space="preserve">.</w:t>
      </w:r>
    </w:p>
    <w:bookmarkEnd w:id="202"/>
    <w:bookmarkStart w:id="203"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203"/>
    <w:bookmarkStart w:id="204"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204"/>
    <w:bookmarkStart w:id="206"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205">
        <w:r>
          <w:rPr>
            <w:rStyle w:val="Hyperlink"/>
          </w:rPr>
          <w:t xml:space="preserve">https://doi.org/10.1007/s00430-011-0212-3</w:t>
        </w:r>
      </w:hyperlink>
      <w:r>
        <w:t xml:space="preserve">.</w:t>
      </w:r>
    </w:p>
    <w:bookmarkEnd w:id="206"/>
    <w:bookmarkStart w:id="208"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207">
        <w:r>
          <w:rPr>
            <w:rStyle w:val="Hyperlink"/>
          </w:rPr>
          <w:t xml:space="preserve">https://doi.org/10.1001/jamadermatol.2025.0531</w:t>
        </w:r>
      </w:hyperlink>
      <w:r>
        <w:t xml:space="preserve">.</w:t>
      </w:r>
    </w:p>
    <w:bookmarkEnd w:id="208"/>
    <w:bookmarkStart w:id="210"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209">
        <w:r>
          <w:rPr>
            <w:rStyle w:val="Hyperlink"/>
          </w:rPr>
          <w:t xml:space="preserve">https://doi.org/10.1186/s13059-019-1891-0</w:t>
        </w:r>
      </w:hyperlink>
      <w:r>
        <w:t xml:space="preserve">.</w:t>
      </w:r>
    </w:p>
    <w:bookmarkEnd w:id="210"/>
    <w:bookmarkStart w:id="211"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11"/>
    <w:bookmarkEnd w:id="212"/>
    <w:bookmarkEnd w:id="213"/>
    <w:bookmarkStart w:id="244" w:name="supplementary-material"/>
    <w:p>
      <w:pPr>
        <w:pStyle w:val="Heading1"/>
      </w:pPr>
      <w:r>
        <w:t xml:space="preserve">Supplementary Material</w:t>
      </w:r>
    </w:p>
    <w:bookmarkStart w:id="241" w:name="supplementary-figures-and-tables"/>
    <w:p>
      <w:pPr>
        <w:pStyle w:val="Heading2"/>
      </w:pPr>
      <w:r>
        <w:t xml:space="preserve">Supplementary Figures and Tables</w:t>
      </w:r>
    </w:p>
    <w:tbl>
      <w:tblPr>
        <w:tblStyle w:val="Table"/>
        <w:tblW w:type="pct" w:w="5000"/>
        <w:tblLayout w:type="fixed"/>
        <w:tblLook w:firstRow="0" w:lastRow="0" w:firstColumn="0" w:lastColumn="0" w:noHBand="0" w:noVBand="0" w:val="0000"/>
      </w:tblPr>
      <w:tblGrid>
        <w:gridCol w:w="7920"/>
      </w:tblGrid>
      <w:tr>
        <w:tc>
          <w:tcPr/>
          <w:bookmarkStart w:id="217" w:name="suppfig-depth"/>
          <w:p>
            <w:pPr>
              <w:pStyle w:val="Compact"/>
              <w:jc w:val="center"/>
            </w:pPr>
            <w:r>
              <w:drawing>
                <wp:inline>
                  <wp:extent cx="5943600" cy="3714749"/>
                  <wp:effectExtent b="0" l="0" r="0" t="0"/>
                  <wp:docPr descr="" title="" id="215" name="Picture"/>
                  <a:graphic>
                    <a:graphicData uri="http://schemas.openxmlformats.org/drawingml/2006/picture">
                      <pic:pic>
                        <pic:nvPicPr>
                          <pic:cNvPr descr="figureS1.png" id="216" name="Picture"/>
                          <pic:cNvPicPr>
                            <a:picLocks noChangeArrowheads="1" noChangeAspect="1"/>
                          </pic:cNvPicPr>
                        </pic:nvPicPr>
                        <pic:blipFill>
                          <a:blip r:embed="rId214"/>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sample group, the percentage of libraries reaching the control-calibrated detection floor (13.2 RPM) is plotted within five total-read bins (&lt;5M, 5–10M, 10–20M, 20–40M, &gt;40M reads); a group is drawn in a bin only where it has at least three libraries. Productive controls (warts/condyloma) detect at 90–100% in every bin in which they occur, as do the EV biopsies in the deep bins where they fall, whereas cutaneous neoplasia (cSCC/actinic keratosis) and unselected skin stay near zero across all bins, including the deepest. This depth-matched comparison confirms that the group difference in</w:t>
            </w:r>
            <w:r>
              <w:t xml:space="preserve"> </w:t>
            </w:r>
            <w:hyperlink w:anchor="fig-rpm">
              <w:r>
                <w:rPr>
                  <w:rStyle w:val="Hyperlink"/>
                </w:rPr>
                <w:t xml:space="preserve">Figure 2</w:t>
              </w:r>
            </w:hyperlink>
            <w:r>
              <w:t xml:space="preserve"> </w:t>
            </w:r>
            <w:r>
              <w:t xml:space="preserve">is not produced by differences in sequencing depth: the groups that reach the floor do so at every depth, and the groups that do not never reach it, however deeply sequenced. Point size is proportional to the number of libraries in each group × bin.</w:t>
            </w:r>
          </w:p>
          <w:bookmarkEnd w:id="21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1" w:name="suppfig-trace"/>
          <w:p>
            <w:pPr>
              <w:pStyle w:val="Compact"/>
              <w:jc w:val="center"/>
            </w:pPr>
            <w:r>
              <w:drawing>
                <wp:inline>
                  <wp:extent cx="5943600" cy="3302000"/>
                  <wp:effectExtent b="0" l="0" r="0" t="0"/>
                  <wp:docPr descr="" title="" id="219" name="Picture"/>
                  <a:graphic>
                    <a:graphicData uri="http://schemas.openxmlformats.org/drawingml/2006/picture">
                      <pic:pic>
                        <pic:nvPicPr>
                          <pic:cNvPr descr="figureS2.png" id="220" name="Picture"/>
                          <pic:cNvPicPr>
                            <a:picLocks noChangeArrowheads="1" noChangeAspect="1"/>
                          </pic:cNvPicPr>
                        </pic:nvPicPr>
                        <pic:blipFill>
                          <a:blip r:embed="rId218"/>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What the sub-threshold trace is made of. Every HPV-positive library below the control-calibrated detection floor (13.2 RPM) in unselected skin and neoplasia (</w:t>
            </w:r>
            <w:r>
              <w:rPr>
                <w:i/>
                <w:iCs/>
              </w:rPr>
              <w:t xml:space="preserve">n</w:t>
            </w:r>
            <w:r>
              <w:t xml:space="preserve"> </w:t>
            </w:r>
            <w:r>
              <w:t xml:space="preserve">= 230), set against the productive controls (warts and EV,</w:t>
            </w:r>
            <w:r>
              <w:t xml:space="preserve"> </w:t>
            </w:r>
            <w:r>
              <w:rPr>
                <w:i/>
                <w:iCs/>
              </w:rPr>
              <w:t xml:space="preserve">n</w:t>
            </w:r>
            <w:r>
              <w:t xml:space="preserve"> </w:t>
            </w:r>
            <w:r>
              <w:t xml:space="preserve">= 54), split into three exclusive classes from the per-gene read counts the pipeline already writes: libraries with no reads on any HPV gene, libraries with gene-mapped reads that do not reach the productive threshold, and productive libraries (L1 ≥ 3 reads). Cell-line and engineered libraries are excluded throughout. The classes are assigned in that order of precedence, so a library appears in exactly one. The residual sample group with no recorded site is not in the denominator: the claim is about skin and neoplasia. Of the 57 gene-mapped but non-productive trace libraries, 52 carry early-gene reads with the late programme absent and 5 carry only L2 reads below the productive bar; the median late-read fraction across the whole trace is 0, against 0.367 in the controls, which is the differentiation-coupled capsid burst the controls are there to show.</w:t>
            </w:r>
          </w:p>
          <w:bookmarkEnd w:id="2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5" w:name="suppfig-types"/>
          <w:p>
            <w:pPr>
              <w:pStyle w:val="Compact"/>
              <w:jc w:val="center"/>
            </w:pPr>
            <w:r>
              <w:drawing>
                <wp:inline>
                  <wp:extent cx="5943600" cy="2993813"/>
                  <wp:effectExtent b="0" l="0" r="0" t="0"/>
                  <wp:docPr descr="" title="" id="223" name="Picture"/>
                  <a:graphic>
                    <a:graphicData uri="http://schemas.openxmlformats.org/drawingml/2006/picture">
                      <pic:pic>
                        <pic:nvPicPr>
                          <pic:cNvPr descr="figureS3.png" id="224" name="Picture"/>
                          <pic:cNvPicPr>
                            <a:picLocks noChangeArrowheads="1" noChangeAspect="1"/>
                          </pic:cNvPicPr>
                        </pic:nvPicPr>
                        <pic:blipFill>
                          <a:blip r:embed="rId222"/>
                          <a:stretch>
                            <a:fillRect/>
                          </a:stretch>
                        </pic:blipFill>
                        <pic:spPr bwMode="auto">
                          <a:xfrm>
                            <a:off x="0" y="0"/>
                            <a:ext cx="5943600" cy="299381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The HPV type landscape, assigned catalog against detection level.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sample groups, with each group’s size on the axis. Fill is the prevalence of that type</w:t>
            </w:r>
            <w:r>
              <w:t xml:space="preserve"> </w:t>
            </w:r>
            <w:r>
              <w:rPr>
                <w:i/>
                <w:iCs/>
              </w:rPr>
              <w:t xml:space="preserve">within</w:t>
            </w:r>
            <w:r>
              <w:t xml:space="preserve"> </w:t>
            </w:r>
            <w:r>
              <w:t xml:space="preserve">that group, as a Beta-Binomial posterior mean under a Beta(0.5, 0.5) prior, the same estimator the tables use; the number printed in each cell is the raw library count. Prevalence rather than count is what the color encodes because group sizes span 10 to 7,800 libraries, so counts are not comparable across rows: three libraries is 23% of the EV group and 0.04% of unselected skin. The scale is log</w:t>
            </w:r>
            <w:r>
              <w:rPr>
                <w:vertAlign w:val="subscript"/>
              </w:rPr>
              <w:t xml:space="preserve">10</w:t>
            </w:r>
            <w:r>
              <w:t xml:space="preserve"> </w:t>
            </w:r>
            <w:r>
              <w:t xml:space="preserve">for the same reason, spanning 0.02% to 91%, and gray marks a type not seen in that group at all. Read that way the two panels say different things. The assigned catalog is concentrated in two rows, productive controls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2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9" w:name="suppfig-reservoir-gut"/>
          <w:p>
            <w:pPr>
              <w:pStyle w:val="Compact"/>
              <w:jc w:val="center"/>
            </w:pPr>
            <w:r>
              <w:drawing>
                <wp:inline>
                  <wp:extent cx="5943600" cy="4302034"/>
                  <wp:effectExtent b="0" l="0" r="0" t="0"/>
                  <wp:docPr descr="" title="" id="227" name="Picture"/>
                  <a:graphic>
                    <a:graphicData uri="http://schemas.openxmlformats.org/drawingml/2006/picture">
                      <pic:pic>
                        <pic:nvPicPr>
                          <pic:cNvPr descr="figureS4.png" id="228" name="Picture"/>
                          <pic:cNvPicPr>
                            <a:picLocks noChangeArrowheads="1" noChangeAspect="1"/>
                          </pic:cNvPicPr>
                        </pic:nvPicPr>
                        <pic:blipFill>
                          <a:blip r:embed="rId226"/>
                          <a:stretch>
                            <a:fillRect/>
                          </a:stretch>
                        </pic:blipFill>
                        <pic:spPr bwMode="auto">
                          <a:xfrm>
                            <a:off x="0" y="0"/>
                            <a:ext cx="5943600" cy="43020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The DNA reservoir across body sites, the positive control for the composition read-out. Skin (n = 1,735 HPV-positive libraries), vaginal (n = 541) and gut (n = 292) metagenomes tabulated from the same catalog by the same code as</w:t>
            </w:r>
            <w:r>
              <w:t xml:space="preserve"> </w:t>
            </w:r>
            <w:hyperlink w:anchor="fig-reservoir">
              <w:r>
                <w:rPr>
                  <w:rStyle w:val="Hyperlink"/>
                </w:rPr>
                <w:t xml:space="preserve">Figure 5</w:t>
              </w:r>
            </w:hyperlink>
            <w:r>
              <w:t xml:space="preserve">. (</w:t>
            </w:r>
            <w:r>
              <w:rPr>
                <w:b/>
                <w:bCs/>
              </w:rPr>
              <w:t xml:space="preserve">A</w:t>
            </w:r>
            <w:r>
              <w:t xml:space="preserve">) Genus composition of each site’s HPV-positive libraries. A library carrying two types of different genera contributes to both, so the panel is normalized within site and shows the composition of type detections rather than prevalence.</w:t>
            </w:r>
            <w:r>
              <w:t xml:space="preserve"> </w:t>
            </w:r>
            <w:r>
              <w:rPr>
                <w:i/>
                <w:iCs/>
              </w:rPr>
              <w:t xml:space="preserve">Unresolved</w:t>
            </w:r>
            <w:r>
              <w:t xml:space="preserve"> </w:t>
            </w:r>
            <w:r>
              <w:t xml:space="preserve">is a contig assigned a papillomavirus identity that cannot be placed in a genus,</w:t>
            </w:r>
            <w:r>
              <w:t xml:space="preserve"> </w:t>
            </w:r>
            <w:r>
              <w:rPr>
                <w:i/>
                <w:iCs/>
              </w:rPr>
              <w:t xml:space="preserve">Novel</w:t>
            </w:r>
            <w:r>
              <w:t xml:space="preserve"> </w:t>
            </w:r>
            <w:r>
              <w:t xml:space="preserve">a cluster with no reference match. (</w:t>
            </w:r>
            <w:r>
              <w:rPr>
                <w:b/>
                <w:bCs/>
              </w:rPr>
              <w:t xml:space="preserve">B</w:t>
            </w:r>
            <w:r>
              <w:t xml:space="preserve">) The ten most frequent types at each site; the numbers beside the skin bars are that type’s assigned / trace detections among the 7,800 unselected-skin RNA libraries of this study, as in</w:t>
            </w:r>
            <w:r>
              <w:t xml:space="preserve"> </w:t>
            </w:r>
            <w:hyperlink w:anchor="fig-reservoir">
              <w:r>
                <w:rPr>
                  <w:rStyle w:val="Hyperlink"/>
                </w:rPr>
                <w:t xml:space="preserve">Figure 5</w:t>
              </w:r>
            </w:hyperlink>
            <w:r>
              <w:t xml:space="preserve"> </w:t>
            </w:r>
            <w:r>
              <w:t xml:space="preserve">A. This figure is what licenses the skin composition in</w:t>
            </w:r>
            <w:r>
              <w:t xml:space="preserve"> </w:t>
            </w:r>
            <w:hyperlink w:anchor="fig-reservoir">
              <w:r>
                <w:rPr>
                  <w:rStyle w:val="Hyperlink"/>
                </w:rPr>
                <w:t xml:space="preserve">Figure 5</w:t>
              </w:r>
            </w:hyperlink>
            <w:r>
              <w:t xml:space="preserve"> </w:t>
            </w:r>
            <w:r>
              <w:t xml:space="preserve">to be read as biology: the identical procedure applied to vaginal libraries recovers an overwhelmingly alpha mucosal niche, which assembly noise could not produce. Only skin is carried into the main figure, since the paper’s subject is skin. Its composition is a mixture of mucosal alpha (30.5%) and cutaneous beta (34.9%), and its commonest types interleave the two (HPV16, HPV6 and HPV56 with HPV24, HPV124 and HPV37), which is the expected signature of a collection route that crosses perianal skin rather than of papillomavirus carriage in the gut; the same pattern is seen independently in rectal-swab cohorts. Read that way the site is a useful control, since it shows the catalog recovering the genus of whatever epithelium the sampling route touches, and its novel-cluster fraction (9.6%) sits with skin’s (14.5%) rather than with the vaginal site’s (0.2%), as expected if its beta/gamma content is cutaneous in origin.</w:t>
            </w:r>
          </w:p>
          <w:bookmarkEnd w:id="2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3" w:name="suppfig-bayes"/>
          <w:p>
            <w:pPr>
              <w:pStyle w:val="Compact"/>
              <w:jc w:val="center"/>
            </w:pPr>
            <w:r>
              <w:drawing>
                <wp:inline>
                  <wp:extent cx="5943600" cy="2905759"/>
                  <wp:effectExtent b="0" l="0" r="0" t="0"/>
                  <wp:docPr descr="" title="" id="231" name="Picture"/>
                  <a:graphic>
                    <a:graphicData uri="http://schemas.openxmlformats.org/drawingml/2006/picture">
                      <pic:pic>
                        <pic:nvPicPr>
                          <pic:cNvPr descr="figureS5.png" id="232" name="Picture"/>
                          <pic:cNvPicPr>
                            <a:picLocks noChangeArrowheads="1" noChangeAspect="1"/>
                          </pic:cNvPicPr>
                        </pic:nvPicPr>
                        <pic:blipFill>
                          <a:blip r:embed="rId230"/>
                          <a:stretch>
                            <a:fillRect/>
                          </a:stretch>
                        </pic:blipFill>
                        <pic:spPr bwMode="auto">
                          <a:xfrm>
                            <a:off x="0" y="0"/>
                            <a:ext cx="5943600" cy="29057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The Bayesian re-analysis as a forest plot. The same posterior summaries tabulated in</w:t>
            </w:r>
            <w:r>
              <w:t xml:space="preserve"> </w:t>
            </w:r>
            <w:hyperlink w:anchor="supptbl-bayes">
              <w:r>
                <w:rPr>
                  <w:rStyle w:val="Hyperlink"/>
                </w:rPr>
                <w:t xml:space="preserve">Table S3</w:t>
              </w:r>
            </w:hyperlink>
            <w:r>
              <w:t xml:space="preserve">, drawn on a log odds-ratio axis: each point is the posterior median odds ratio and the bar through it the 95% credible interval, with the dashed line at OR = 1 marking no effect. Filled points mark intervals that exclude 1; the two open grey points are the intervals that do not, and both are sequencing-depth terms, so the figure shows directly that deeper sequencing buys no productive-level detection either across sample groups or within neoplasia. P(OR &gt; 1) is the posterior probability of a positive effect, on the same rounding as the text. Contrast labels and their order are those of</w:t>
            </w:r>
            <w:r>
              <w:t xml:space="preserve"> </w:t>
            </w:r>
            <w:hyperlink w:anchor="supptbl-bayes">
              <w:r>
                <w:rPr>
                  <w:rStyle w:val="Hyperlink"/>
                </w:rPr>
                <w:t xml:space="preserve">Table S3</w:t>
              </w:r>
            </w:hyperlink>
            <w:r>
              <w:t xml:space="preserve">; the Student-</w:t>
            </w:r>
            <w:r>
              <w:rPr>
                <w:i/>
                <w:iCs/>
              </w:rPr>
              <w:t xml:space="preserve">t</w:t>
            </w:r>
            <w:r>
              <w:t xml:space="preserve">(3) row is the prior-sensitivity refit of the contrast immediately above it, reported in that table’s caption rather than as a row of its own, and it sits further from 1 rather than nearer, which is what makes the productive-controls gap a finding rather than an artifact of the Normal prior. The axis spans five orders of magnitude because that contrast genuinely does.</w:t>
            </w:r>
          </w:p>
          <w:bookmarkEnd w:id="2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4" w:name="supptbl-types"/>
          <w:tbl>
            <w:tblPr>
              <w:tblStyle w:val="Table"/>
              <w:tblW w:type="pct" w:w="5000"/>
              <w:tblLayout w:type="fixed"/>
              <w:tblLook w:firstRow="1" w:lastRow="0" w:firstColumn="0" w:lastColumn="0" w:noHBand="0" w:noVBand="0" w:val="0020"/>
            </w:tblPr>
            <w:tblGrid>
              <w:gridCol w:w="501"/>
              <w:gridCol w:w="1450"/>
              <w:gridCol w:w="1505"/>
              <w:gridCol w:w="557"/>
              <w:gridCol w:w="1003"/>
              <w:gridCol w:w="1003"/>
              <w:gridCol w:w="1561"/>
              <w:gridCol w:w="334"/>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right"/>
                    <w:jc w:val="center"/>
                  </w:pPr>
                  <w:r>
                    <w:t xml:space="preserve">Site not recorded (N=1,317)</w:t>
                  </w:r>
                </w:p>
              </w:tc>
              <w:tc>
                <w:tcPr/>
                <w:p>
                  <w:pPr>
                    <w:pStyle w:val="Compact"/>
                    <w:jc w:val="left"/>
                    <w:jc w:val="center"/>
                  </w:pPr>
                  <w:r>
                    <w:t xml:space="preserve">Total</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right"/>
                    <w:jc w:val="center"/>
                  </w:pPr>
                  <w:r>
                    <w:t xml:space="preserve">0</w:t>
                  </w:r>
                </w:p>
              </w:tc>
              <w:tc>
                <w:tcPr/>
                <w:p>
                  <w:pPr>
                    <w:pStyle w:val="Compact"/>
                    <w:jc w:val="lef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right"/>
                    <w:jc w:val="center"/>
                  </w:pPr>
                  <w:r>
                    <w:t xml:space="preserve">0</w:t>
                  </w:r>
                </w:p>
              </w:tc>
              <w:tc>
                <w:tcPr/>
                <w:p>
                  <w:pPr>
                    <w:pStyle w:val="Compact"/>
                    <w:jc w:val="left"/>
                    <w:jc w:val="center"/>
                  </w:pPr>
                  <w:r>
                    <w:t xml:space="preserve">28</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 (0.64%)</w:t>
                  </w:r>
                </w:p>
              </w:tc>
              <w:tc>
                <w:tcPr/>
                <w:p>
                  <w:pPr>
                    <w:pStyle w:val="Compact"/>
                    <w:jc w:val="left"/>
                    <w:jc w:val="center"/>
                  </w:pPr>
                  <w:r>
                    <w:t xml:space="preserve">22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10</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9</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(0.49%)</w:t>
                  </w:r>
                </w:p>
              </w:tc>
              <w:tc>
                <w:tcPr/>
                <w:p>
                  <w:pPr>
                    <w:pStyle w:val="Compact"/>
                    <w:jc w:val="left"/>
                    <w:jc w:val="center"/>
                  </w:pPr>
                  <w:r>
                    <w:t xml:space="preserve">9</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S1: Number of libraries assigned to each HPV reference type across sample groups (types with ≥2 assigned libraries shown).</w:t>
            </w:r>
            <w:r>
              <w:t xml:space="preserve"> </w:t>
            </w:r>
            <w:hyperlink w:anchor="suppfig-types">
              <w:r>
                <w:rPr>
                  <w:rStyle w:val="Hyperlink"/>
                </w:rPr>
                <w:t xml:space="preserve">Figure S3</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group, the library count divided by the group size in the column header, estimated as a Beta-Binomial posterior mean under a weakly-informative Beta(0.5, 0.5) prior. Because group sizes span more than two orders of magnitude, raw counts are not comparable across groups: the 14 HPV11 detections in productive controls represent a far higher prevalence than the 24 HPV16 detections in the much larger cell-line group (32% [20–46] versus 3.5% [2.3–5.0];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group by the beta-types that define the syndrome (HPV9, HPV14, HPV20, HPV25, HPV47).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2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5"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3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6"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2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7"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group.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group.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3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8"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Sample group</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sample group, as a percentage of the libraries in each group (group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10,834 libraries resolved, the remainder being records in which neither source states how the library was selected. The table exists because poly-A capture is the chemistry least favorable to viral-transcript recovery, so an unbalanced distribution of chemistry across groups could in principle manufacture the productivity contrast reported in the main text. It does not: the imbalance runs the other way. The neoplasia group,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group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group.</w:t>
            </w:r>
          </w:p>
          <w:bookmarkEnd w:id="2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9"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Detection-level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S3</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groups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near-absence of productive controls from the detection level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group in parentheses (Beta-Binomial posterior mean, Beta(0.5, 0.5) prior; group sizes in the headers), keeping both tables on one denominator; the trace-eligible counts per group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3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0" w:name="supptbl-coinf"/>
          <w:tbl>
            <w:tblPr>
              <w:tblStyle w:val="Table"/>
              <w:tblW w:type="pct" w:w="5000"/>
              <w:tblLayout w:type="fixed"/>
              <w:tblLook w:firstRow="1" w:lastRow="0" w:firstColumn="0" w:lastColumn="0" w:noHBand="0" w:noVBand="0" w:val="0020"/>
            </w:tblPr>
            <w:tblGrid>
              <w:gridCol w:w="772"/>
              <w:gridCol w:w="1287"/>
              <w:gridCol w:w="643"/>
              <w:gridCol w:w="5215"/>
            </w:tblGrid>
            <w:tr>
              <w:trPr>
                <w:tblHeader w:val="on"/>
              </w:trPr>
              <w:tc>
                <w:tcPr/>
                <w:p>
                  <w:pPr>
                    <w:pStyle w:val="Compact"/>
                    <w:jc w:val="left"/>
                    <w:jc w:val="center"/>
                  </w:pPr>
                  <w:r>
                    <w:t xml:space="preserve">Library</w:t>
                  </w:r>
                </w:p>
              </w:tc>
              <w:tc>
                <w:tcPr/>
                <w:p>
                  <w:pPr>
                    <w:pStyle w:val="Compact"/>
                    <w:jc w:val="left"/>
                    <w:jc w:val="center"/>
                  </w:pPr>
                  <w:r>
                    <w:t xml:space="preserve">Sample group</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26 of the 148 typed libraries qualify (20 with two types, 2 with three, 4 with four, 0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13 of the 26 come from the paired studies SRP314958 (RNA-seq) and SRP314961 (MeRIP-seq), which are condyloma lesions from 5 donors (CA_1 to CA_5), each sequenced as an RNA-seq library plus a MeRIP input and IP fraction, so rows sharing a donor carry near-identical read profiles. Second, the secondary types often sit close to the threshold: across all non-dominant calls the median depth is 9.0× and 39%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45-fold (interquartile range 14 to 2,175),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8 libraries carry both, against 14 with HPV11 alone and 1 with HPV42 alone. Requiring both partners to clear a stricter bar (breadth ≥ 0.70 and depth ≥ 5× for each) leaves 3 libraries from 1 of those donors (CA_1). Their dominance relation is asymmetric: HPV11 is the deeper type in all five condyloma lesions, exceeding HPV42 48- to 4,100-fold in the three with a strong HPV11 signal (CA_1, CA_4, CA_5) and 2- to 4-fold in the other two, so HPV42 is the minor partner throughout and clears the assignment threshold only where it happens to be abundant. Whether the pairing is a genuine dual infection or an artifact of that sensitivity limit cannot be settled from five donors of one study: it is a hypothesis the data motivate, not a result they support.</w:t>
            </w:r>
          </w:p>
          <w:bookmarkEnd w:id="240"/>
        </w:tc>
      </w:tr>
    </w:tbl>
    <w:bookmarkEnd w:id="241"/>
    <w:bookmarkStart w:id="243" w:name="sec-s-crosstalk"/>
    <w:p>
      <w:pPr>
        <w:pStyle w:val="Heading2"/>
      </w:pPr>
      <w:r>
        <w:t xml:space="preserve">Above-floor HPV in tissue that cannot host it: two contaminated studies</w:t>
      </w:r>
    </w:p>
    <w:p>
      <w:pPr>
        <w:pStyle w:val="FirstParagraph"/>
      </w:pPr>
      <w:r>
        <w:t xml:space="preserve">The non-permissive tissue group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group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42"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242"/>
        </w:tc>
      </w:tr>
    </w:tbl>
    <w:bookmarkEnd w:id="243"/>
    <w:bookmarkEnd w:id="244"/>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hyperlink" Id="rId207" Target="https://doi.org/10.1001/jamadermatol.2025.0531" TargetMode="External" /><Relationship Type="http://schemas.openxmlformats.org/officeDocument/2006/relationships/hyperlink" Id="rId167" Target="https://doi.org/10.1001/jamadermatol.2026.0308" TargetMode="External" /><Relationship Type="http://schemas.openxmlformats.org/officeDocument/2006/relationships/hyperlink" Id="rId87" Target="https://doi.org/10.1002/ijc.33683" TargetMode="External" /><Relationship Type="http://schemas.openxmlformats.org/officeDocument/2006/relationships/hyperlink" Id="rId205" Target="https://doi.org/10.1007/s00430-011-0212-3" TargetMode="External" /><Relationship Type="http://schemas.openxmlformats.org/officeDocument/2006/relationships/hyperlink" Id="rId190" Target="https://doi.org/10.1016/j.ccell.2024.11.013" TargetMode="External" /><Relationship Type="http://schemas.openxmlformats.org/officeDocument/2006/relationships/hyperlink" Id="rId89" Target="https://doi.org/10.1016/j.cmi.2019.04.028" TargetMode="External" /><Relationship Type="http://schemas.openxmlformats.org/officeDocument/2006/relationships/hyperlink" Id="rId103" Target="https://doi.org/10.1016/j.coviro.2019.07.010" TargetMode="External" /><Relationship Type="http://schemas.openxmlformats.org/officeDocument/2006/relationships/hyperlink" Id="rId117" Target="https://doi.org/10.1016/j.virol.2019.08.007" TargetMode="External" /><Relationship Type="http://schemas.openxmlformats.org/officeDocument/2006/relationships/hyperlink" Id="rId129" Target="https://doi.org/10.1016/j.xgen.2022.100211" TargetMode="External" /><Relationship Type="http://schemas.openxmlformats.org/officeDocument/2006/relationships/hyperlink" Id="rId85" Target="https://doi.org/10.1038/jid.2011.91" TargetMode="External" /><Relationship Type="http://schemas.openxmlformats.org/officeDocument/2006/relationships/hyperlink" Id="rId81" Target="https://doi.org/10.1038/nature12064" TargetMode="External" /><Relationship Type="http://schemas.openxmlformats.org/officeDocument/2006/relationships/hyperlink" Id="rId119" Target="https://doi.org/10.1038/nbt.3820" TargetMode="External" /><Relationship Type="http://schemas.openxmlformats.org/officeDocument/2006/relationships/hyperlink" Id="rId172" Target="https://doi.org/10.1038/ng1044" TargetMode="External" /><Relationship Type="http://schemas.openxmlformats.org/officeDocument/2006/relationships/hyperlink" Id="rId192" Target="https://doi.org/10.1038/s41586-019-1719-9" TargetMode="External" /><Relationship Type="http://schemas.openxmlformats.org/officeDocument/2006/relationships/hyperlink" Id="rId149" Target="https://doi.org/10.1038/s41586-020-3023-0" TargetMode="External" /><Relationship Type="http://schemas.openxmlformats.org/officeDocument/2006/relationships/hyperlink" Id="rId194" Target="https://doi.org/10.1038/s41586-020-3024-z" TargetMode="External" /><Relationship Type="http://schemas.openxmlformats.org/officeDocument/2006/relationships/hyperlink" Id="rId126" Target="https://doi.org/10.1038/s41586-021-04332-2" TargetMode="External" /><Relationship Type="http://schemas.openxmlformats.org/officeDocument/2006/relationships/hyperlink" Id="rId98" Target="https://doi.org/10.1038/srep05807" TargetMode="External" /><Relationship Type="http://schemas.openxmlformats.org/officeDocument/2006/relationships/hyperlink" Id="rId174" Target="https://doi.org/10.1073/pnas.2118930119" TargetMode="External" /><Relationship Type="http://schemas.openxmlformats.org/officeDocument/2006/relationships/hyperlink" Id="rId143" Target="https://doi.org/10.1084/jem.20170308" TargetMode="External" /><Relationship Type="http://schemas.openxmlformats.org/officeDocument/2006/relationships/hyperlink" Id="rId121" Target="https://doi.org/10.1093/bioinformatics/bts635" TargetMode="External" /><Relationship Type="http://schemas.openxmlformats.org/officeDocument/2006/relationships/hyperlink" Id="rId158" Target="https://doi.org/10.1093/bioinformatics/btt656" TargetMode="External" /><Relationship Type="http://schemas.openxmlformats.org/officeDocument/2006/relationships/hyperlink" Id="rId105" Target="https://doi.org/10.1093/bioinformatics/bty560" TargetMode="External" /><Relationship Type="http://schemas.openxmlformats.org/officeDocument/2006/relationships/hyperlink" Id="rId115" Target="https://doi.org/10.1093/gigascience/giab008" TargetMode="External" /><Relationship Type="http://schemas.openxmlformats.org/officeDocument/2006/relationships/hyperlink" Id="rId178" Target="https://doi.org/10.1093/infdis/jiy577" TargetMode="External" /><Relationship Type="http://schemas.openxmlformats.org/officeDocument/2006/relationships/hyperlink" Id="rId154" Target="https://doi.org/10.1093/nar/gkq1019" TargetMode="External" /><Relationship Type="http://schemas.openxmlformats.org/officeDocument/2006/relationships/hyperlink" Id="rId197" Target="https://doi.org/10.1093/nar/gkw879" TargetMode="External" /><Relationship Type="http://schemas.openxmlformats.org/officeDocument/2006/relationships/hyperlink" Id="rId132" Target="https://doi.org/10.1097/DAD.0000000000001289" TargetMode="External" /><Relationship Type="http://schemas.openxmlformats.org/officeDocument/2006/relationships/hyperlink" Id="rId109" Target="https://doi.org/10.1101/2024.07.30.605881" TargetMode="External" /><Relationship Type="http://schemas.openxmlformats.org/officeDocument/2006/relationships/hyperlink" Id="rId199" Target="https://doi.org/10.1111/exd.14385" TargetMode="External" /><Relationship Type="http://schemas.openxmlformats.org/officeDocument/2006/relationships/hyperlink" Id="rId170" Target="https://doi.org/10.1111/j.0022-202X.2005.23635.x" TargetMode="External" /><Relationship Type="http://schemas.openxmlformats.org/officeDocument/2006/relationships/hyperlink" Id="rId107" Target="https://doi.org/10.1128/JCM.01785-07" TargetMode="External" /><Relationship Type="http://schemas.openxmlformats.org/officeDocument/2006/relationships/hyperlink" Id="rId160" Target="https://doi.org/10.1128/JVI.00093-14" TargetMode="External" /><Relationship Type="http://schemas.openxmlformats.org/officeDocument/2006/relationships/hyperlink" Id="rId146" Target="https://doi.org/10.1128/JVI.00822-15" TargetMode="External" /><Relationship Type="http://schemas.openxmlformats.org/officeDocument/2006/relationships/hyperlink" Id="rId180" Target="https://doi.org/10.1128/JVI.01003-18" TargetMode="External" /><Relationship Type="http://schemas.openxmlformats.org/officeDocument/2006/relationships/hyperlink" Id="rId101" Target="https://doi.org/10.1128/JVI.03365-14" TargetMode="External" /><Relationship Type="http://schemas.openxmlformats.org/officeDocument/2006/relationships/hyperlink" Id="rId83" Target="https://doi.org/10.1128/JVI.74.24.11636-11641.2000" TargetMode="External" /><Relationship Type="http://schemas.openxmlformats.org/officeDocument/2006/relationships/hyperlink" Id="rId134" Target="https://doi.org/10.1128/mbio.01607-23" TargetMode="External" /><Relationship Type="http://schemas.openxmlformats.org/officeDocument/2006/relationships/hyperlink" Id="rId91" Target="https://doi.org/10.1152/physiolgenomics.00093.2024" TargetMode="External" /><Relationship Type="http://schemas.openxmlformats.org/officeDocument/2006/relationships/hyperlink" Id="rId113" Target="https://doi.org/10.1158/0008-5472.CAN-08-3099" TargetMode="External" /><Relationship Type="http://schemas.openxmlformats.org/officeDocument/2006/relationships/hyperlink" Id="rId176" Target="https://doi.org/10.1158/0008-5472.CAN-21-0805" TargetMode="External" /><Relationship Type="http://schemas.openxmlformats.org/officeDocument/2006/relationships/hyperlink" Id="rId96" Target="https://doi.org/10.1158/1055-9965.EPI-09-0025" TargetMode="External" /><Relationship Type="http://schemas.openxmlformats.org/officeDocument/2006/relationships/hyperlink" Id="rId156" Target="https://doi.org/10.1158/1078-0432.CCR-25-0645" TargetMode="External" /><Relationship Type="http://schemas.openxmlformats.org/officeDocument/2006/relationships/hyperlink" Id="rId152" Target="https://doi.org/10.1158/2159-8290.CD-22-0489" TargetMode="External" /><Relationship Type="http://schemas.openxmlformats.org/officeDocument/2006/relationships/hyperlink" Id="rId182" Target="https://doi.org/10.1172/jci.insight.162558" TargetMode="External" /><Relationship Type="http://schemas.openxmlformats.org/officeDocument/2006/relationships/hyperlink" Id="rId164" Target="https://doi.org/10.1172/jci.insight.177898" TargetMode="External" /><Relationship Type="http://schemas.openxmlformats.org/officeDocument/2006/relationships/hyperlink" Id="rId184" Target="https://doi.org/10.1186/s12864-020-6483-6" TargetMode="External" /><Relationship Type="http://schemas.openxmlformats.org/officeDocument/2006/relationships/hyperlink" Id="rId209" Target="https://doi.org/10.1186/s13059-019-1891-0" TargetMode="External" /><Relationship Type="http://schemas.openxmlformats.org/officeDocument/2006/relationships/hyperlink" Id="rId188" Target="https://doi.org/10.1371/journal.pone.0163962" TargetMode="External" /><Relationship Type="http://schemas.openxmlformats.org/officeDocument/2006/relationships/hyperlink" Id="rId140" Target="https://doi.org/10.1371/journal.pone.0217942" TargetMode="External" /><Relationship Type="http://schemas.openxmlformats.org/officeDocument/2006/relationships/hyperlink" Id="rId201" Target="https://doi.org/10.1371/journal.ppat.1006783" TargetMode="External" /><Relationship Type="http://schemas.openxmlformats.org/officeDocument/2006/relationships/hyperlink" Id="rId94" Target="https://doi.org/10.3389/fmicb.2018.00117" TargetMode="External" /><Relationship Type="http://schemas.openxmlformats.org/officeDocument/2006/relationships/hyperlink" Id="rId111" Target="https://doi.org/10.3802/jgo.2018.29.e38" TargetMode="External" /><Relationship Type="http://schemas.openxmlformats.org/officeDocument/2006/relationships/hyperlink" Id="rId186" Target="https://doi.org/10.64898/2026.04.21.719858" TargetMode="External" /><Relationship Type="http://schemas.openxmlformats.org/officeDocument/2006/relationships/hyperlink" Id="rId74" Target="https://github.com/tpall/hpv-human-skin" TargetMode="External" /><Relationship Type="http://schemas.openxmlformats.org/officeDocument/2006/relationships/hyperlink" Id="rId136" Target="https://mc-stan.org/rstanarm/" TargetMode="External" /><Relationship Type="http://schemas.openxmlformats.org/officeDocument/2006/relationships/hyperlink" Id="rId75"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207" Target="https://doi.org/10.1001/jamadermatol.2025.0531" TargetMode="External" /><Relationship Type="http://schemas.openxmlformats.org/officeDocument/2006/relationships/hyperlink" Id="rId167" Target="https://doi.org/10.1001/jamadermatol.2026.0308" TargetMode="External" /><Relationship Type="http://schemas.openxmlformats.org/officeDocument/2006/relationships/hyperlink" Id="rId87" Target="https://doi.org/10.1002/ijc.33683" TargetMode="External" /><Relationship Type="http://schemas.openxmlformats.org/officeDocument/2006/relationships/hyperlink" Id="rId205" Target="https://doi.org/10.1007/s00430-011-0212-3" TargetMode="External" /><Relationship Type="http://schemas.openxmlformats.org/officeDocument/2006/relationships/hyperlink" Id="rId190" Target="https://doi.org/10.1016/j.ccell.2024.11.013" TargetMode="External" /><Relationship Type="http://schemas.openxmlformats.org/officeDocument/2006/relationships/hyperlink" Id="rId89" Target="https://doi.org/10.1016/j.cmi.2019.04.028" TargetMode="External" /><Relationship Type="http://schemas.openxmlformats.org/officeDocument/2006/relationships/hyperlink" Id="rId103" Target="https://doi.org/10.1016/j.coviro.2019.07.010" TargetMode="External" /><Relationship Type="http://schemas.openxmlformats.org/officeDocument/2006/relationships/hyperlink" Id="rId117" Target="https://doi.org/10.1016/j.virol.2019.08.007" TargetMode="External" /><Relationship Type="http://schemas.openxmlformats.org/officeDocument/2006/relationships/hyperlink" Id="rId129" Target="https://doi.org/10.1016/j.xgen.2022.100211" TargetMode="External" /><Relationship Type="http://schemas.openxmlformats.org/officeDocument/2006/relationships/hyperlink" Id="rId85" Target="https://doi.org/10.1038/jid.2011.91" TargetMode="External" /><Relationship Type="http://schemas.openxmlformats.org/officeDocument/2006/relationships/hyperlink" Id="rId81" Target="https://doi.org/10.1038/nature12064" TargetMode="External" /><Relationship Type="http://schemas.openxmlformats.org/officeDocument/2006/relationships/hyperlink" Id="rId119" Target="https://doi.org/10.1038/nbt.3820" TargetMode="External" /><Relationship Type="http://schemas.openxmlformats.org/officeDocument/2006/relationships/hyperlink" Id="rId172" Target="https://doi.org/10.1038/ng1044" TargetMode="External" /><Relationship Type="http://schemas.openxmlformats.org/officeDocument/2006/relationships/hyperlink" Id="rId192" Target="https://doi.org/10.1038/s41586-019-1719-9" TargetMode="External" /><Relationship Type="http://schemas.openxmlformats.org/officeDocument/2006/relationships/hyperlink" Id="rId149" Target="https://doi.org/10.1038/s41586-020-3023-0" TargetMode="External" /><Relationship Type="http://schemas.openxmlformats.org/officeDocument/2006/relationships/hyperlink" Id="rId194" Target="https://doi.org/10.1038/s41586-020-3024-z" TargetMode="External" /><Relationship Type="http://schemas.openxmlformats.org/officeDocument/2006/relationships/hyperlink" Id="rId126" Target="https://doi.org/10.1038/s41586-021-04332-2" TargetMode="External" /><Relationship Type="http://schemas.openxmlformats.org/officeDocument/2006/relationships/hyperlink" Id="rId98" Target="https://doi.org/10.1038/srep05807" TargetMode="External" /><Relationship Type="http://schemas.openxmlformats.org/officeDocument/2006/relationships/hyperlink" Id="rId174" Target="https://doi.org/10.1073/pnas.2118930119" TargetMode="External" /><Relationship Type="http://schemas.openxmlformats.org/officeDocument/2006/relationships/hyperlink" Id="rId143" Target="https://doi.org/10.1084/jem.20170308" TargetMode="External" /><Relationship Type="http://schemas.openxmlformats.org/officeDocument/2006/relationships/hyperlink" Id="rId121" Target="https://doi.org/10.1093/bioinformatics/bts635" TargetMode="External" /><Relationship Type="http://schemas.openxmlformats.org/officeDocument/2006/relationships/hyperlink" Id="rId158" Target="https://doi.org/10.1093/bioinformatics/btt656" TargetMode="External" /><Relationship Type="http://schemas.openxmlformats.org/officeDocument/2006/relationships/hyperlink" Id="rId105" Target="https://doi.org/10.1093/bioinformatics/bty560" TargetMode="External" /><Relationship Type="http://schemas.openxmlformats.org/officeDocument/2006/relationships/hyperlink" Id="rId115" Target="https://doi.org/10.1093/gigascience/giab008" TargetMode="External" /><Relationship Type="http://schemas.openxmlformats.org/officeDocument/2006/relationships/hyperlink" Id="rId178" Target="https://doi.org/10.1093/infdis/jiy577" TargetMode="External" /><Relationship Type="http://schemas.openxmlformats.org/officeDocument/2006/relationships/hyperlink" Id="rId154" Target="https://doi.org/10.1093/nar/gkq1019" TargetMode="External" /><Relationship Type="http://schemas.openxmlformats.org/officeDocument/2006/relationships/hyperlink" Id="rId197" Target="https://doi.org/10.1093/nar/gkw879" TargetMode="External" /><Relationship Type="http://schemas.openxmlformats.org/officeDocument/2006/relationships/hyperlink" Id="rId132" Target="https://doi.org/10.1097/DAD.0000000000001289" TargetMode="External" /><Relationship Type="http://schemas.openxmlformats.org/officeDocument/2006/relationships/hyperlink" Id="rId109" Target="https://doi.org/10.1101/2024.07.30.605881" TargetMode="External" /><Relationship Type="http://schemas.openxmlformats.org/officeDocument/2006/relationships/hyperlink" Id="rId199" Target="https://doi.org/10.1111/exd.14385" TargetMode="External" /><Relationship Type="http://schemas.openxmlformats.org/officeDocument/2006/relationships/hyperlink" Id="rId170" Target="https://doi.org/10.1111/j.0022-202X.2005.23635.x" TargetMode="External" /><Relationship Type="http://schemas.openxmlformats.org/officeDocument/2006/relationships/hyperlink" Id="rId107" Target="https://doi.org/10.1128/JCM.01785-07" TargetMode="External" /><Relationship Type="http://schemas.openxmlformats.org/officeDocument/2006/relationships/hyperlink" Id="rId160" Target="https://doi.org/10.1128/JVI.00093-14" TargetMode="External" /><Relationship Type="http://schemas.openxmlformats.org/officeDocument/2006/relationships/hyperlink" Id="rId146" Target="https://doi.org/10.1128/JVI.00822-15" TargetMode="External" /><Relationship Type="http://schemas.openxmlformats.org/officeDocument/2006/relationships/hyperlink" Id="rId180" Target="https://doi.org/10.1128/JVI.01003-18" TargetMode="External" /><Relationship Type="http://schemas.openxmlformats.org/officeDocument/2006/relationships/hyperlink" Id="rId101" Target="https://doi.org/10.1128/JVI.03365-14" TargetMode="External" /><Relationship Type="http://schemas.openxmlformats.org/officeDocument/2006/relationships/hyperlink" Id="rId83" Target="https://doi.org/10.1128/JVI.74.24.11636-11641.2000" TargetMode="External" /><Relationship Type="http://schemas.openxmlformats.org/officeDocument/2006/relationships/hyperlink" Id="rId134" Target="https://doi.org/10.1128/mbio.01607-23" TargetMode="External" /><Relationship Type="http://schemas.openxmlformats.org/officeDocument/2006/relationships/hyperlink" Id="rId91" Target="https://doi.org/10.1152/physiolgenomics.00093.2024" TargetMode="External" /><Relationship Type="http://schemas.openxmlformats.org/officeDocument/2006/relationships/hyperlink" Id="rId113" Target="https://doi.org/10.1158/0008-5472.CAN-08-3099" TargetMode="External" /><Relationship Type="http://schemas.openxmlformats.org/officeDocument/2006/relationships/hyperlink" Id="rId176" Target="https://doi.org/10.1158/0008-5472.CAN-21-0805" TargetMode="External" /><Relationship Type="http://schemas.openxmlformats.org/officeDocument/2006/relationships/hyperlink" Id="rId96" Target="https://doi.org/10.1158/1055-9965.EPI-09-0025" TargetMode="External" /><Relationship Type="http://schemas.openxmlformats.org/officeDocument/2006/relationships/hyperlink" Id="rId156" Target="https://doi.org/10.1158/1078-0432.CCR-25-0645" TargetMode="External" /><Relationship Type="http://schemas.openxmlformats.org/officeDocument/2006/relationships/hyperlink" Id="rId152" Target="https://doi.org/10.1158/2159-8290.CD-22-0489" TargetMode="External" /><Relationship Type="http://schemas.openxmlformats.org/officeDocument/2006/relationships/hyperlink" Id="rId182" Target="https://doi.org/10.1172/jci.insight.162558" TargetMode="External" /><Relationship Type="http://schemas.openxmlformats.org/officeDocument/2006/relationships/hyperlink" Id="rId164" Target="https://doi.org/10.1172/jci.insight.177898" TargetMode="External" /><Relationship Type="http://schemas.openxmlformats.org/officeDocument/2006/relationships/hyperlink" Id="rId184" Target="https://doi.org/10.1186/s12864-020-6483-6" TargetMode="External" /><Relationship Type="http://schemas.openxmlformats.org/officeDocument/2006/relationships/hyperlink" Id="rId209" Target="https://doi.org/10.1186/s13059-019-1891-0" TargetMode="External" /><Relationship Type="http://schemas.openxmlformats.org/officeDocument/2006/relationships/hyperlink" Id="rId188" Target="https://doi.org/10.1371/journal.pone.0163962" TargetMode="External" /><Relationship Type="http://schemas.openxmlformats.org/officeDocument/2006/relationships/hyperlink" Id="rId140" Target="https://doi.org/10.1371/journal.pone.0217942" TargetMode="External" /><Relationship Type="http://schemas.openxmlformats.org/officeDocument/2006/relationships/hyperlink" Id="rId201" Target="https://doi.org/10.1371/journal.ppat.1006783" TargetMode="External" /><Relationship Type="http://schemas.openxmlformats.org/officeDocument/2006/relationships/hyperlink" Id="rId94" Target="https://doi.org/10.3389/fmicb.2018.00117" TargetMode="External" /><Relationship Type="http://schemas.openxmlformats.org/officeDocument/2006/relationships/hyperlink" Id="rId111" Target="https://doi.org/10.3802/jgo.2018.29.e38" TargetMode="External" /><Relationship Type="http://schemas.openxmlformats.org/officeDocument/2006/relationships/hyperlink" Id="rId186" Target="https://doi.org/10.64898/2026.04.21.719858" TargetMode="External" /><Relationship Type="http://schemas.openxmlformats.org/officeDocument/2006/relationships/hyperlink" Id="rId74" Target="https://github.com/tpall/hpv-human-skin" TargetMode="External" /><Relationship Type="http://schemas.openxmlformats.org/officeDocument/2006/relationships/hyperlink" Id="rId136" Target="https://mc-stan.org/rstanarm/" TargetMode="External" /><Relationship Type="http://schemas.openxmlformats.org/officeDocument/2006/relationships/hyperlink" Id="rId75"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2026-08-27T15:02:14Z</dcterms:created>
  <dcterms:modified xsi:type="dcterms:W3CDTF">2026-08-27T15:02:14Z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2026-08-27</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