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76.png" ContentType="image/png"/>
  <Override PartName="/word/media/rId180.png" ContentType="image/png"/>
  <Override PartName="/word/media/rId184.png" ContentType="image/png"/>
  <Override PartName="/word/media/rId188.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Under hit-and-run the decline is not predicted by dispensability itself, which is a claim about requirement rather than persistence, but follows from it: papillomavirus episomes are maintained only by active tethering to mitotic chromosomes, so a genome nothing selects for is diluted out of the expanding clone</w:t>
      </w:r>
      <w:r>
        <w:t xml:space="preserve"> </w:t>
      </w:r>
      <w:r>
        <w:t xml:space="preserve">(You et al. 2004)</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and much of the apparent HPV signal in public transcriptomes likely reflects laboratory-derived artifact, which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The ratio also rises monotonically with grade in an independent HPV16-positive cervical series: the median ratio runs from 0.36 in normal epithelium through 0.78 in high-grade lesion to 2.77 in carcinoma (</w:t>
      </w:r>
      <w:hyperlink w:anchor="fig-integration">
        <w:r>
          <w:rPr>
            <w:rStyle w:val="Hyperlink"/>
          </w:rPr>
          <w:t xml:space="preserve">Figure 1</w:t>
        </w:r>
      </w:hyperlink>
      <w:r>
        <w:t xml:space="preserve"> </w:t>
      </w:r>
      <w:r>
        <w:t xml:space="preserve">c), roughly eightfold, with late transcription falling away along the same axis. That carcinoma median sits far below the cell-line median, consistent with a mix of integrated and episomal genomes within the tumor. The rise in primary tissue suggests that the marker reflects viral integration as a biological process rather than merely culture-derived artifact.</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group,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The dashed gray line is the 0.2 clustering threshold. (</w:t>
            </w:r>
            <w:r>
              <w:rPr>
                <w:b/>
                <w:bCs/>
              </w:rPr>
              <w:t xml:space="preserve">c</w:t>
            </w:r>
            <w:r>
              <w:t xml:space="preserve">) The ratio rises monotonically with grade across a graded cervical series (SRP252916) of HPV16-positive normal epithelium, high-grade squamous intraepithelial lesion (HSIL) and carcinoma, sequenced under one protocol with no cell line in the series; open circles are libraries and filled diamonds the arm medians, joined by a solid line, and the dashed line at zero is parity as in (</w:t>
            </w:r>
            <w:r>
              <w:rPr>
                <w:b/>
                <w:bCs/>
              </w:rPr>
              <w:t xml:space="preserve">a</w:t>
            </w:r>
            <w:r>
              <w:t xml:space="preserve">).</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groups run the complete viral program, capsid genes included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assigned-type catalog, the detection-level trace catalog, and their union, collapsed from HPV type to genus, with a library contributing to at most one row. Each point is the percentage of that sample group’s libraries in which the genus was detected, as a Beta-Binomial posterior mean under a Beta(0.5, 0.5) prior, and the bar through it is the 95% credible interval; the number above each point is the count of libraries detected. Gray crosses mark a genus never detected in that group, drawn at the axis floor because the</w:t>
            </w:r>
            <w:r>
              <w:t xml:space="preserve"> </w:t>
            </w:r>
            <w:r>
              <w:rPr>
                <w:i/>
                <w:iCs/>
              </w:rPr>
              <w:t xml:space="preserve">y</w:t>
            </w:r>
            <w:r>
              <w:t xml:space="preserve">-axis is log-scaled and its lowest tick, labeled 0, is a placeholder for zero. High-risk mucosal alpha types concentrate in cultured and engineered material, the cutaneous beta and gamma genera dominate healthy skin and EV, and productive controls carry the wart-associated alpha and mu types. The trace level is where the healthy-skin beta/gamma reservoir becomes visible, most of it falling below the criterion for a type assignment.</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Silence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against its transcriptional silence. Re-tabulation of a Logan-wide papillomavirus catalog</w:t>
            </w:r>
            <w:r>
              <w:t xml:space="preserve"> </w:t>
            </w:r>
            <w:r>
              <w:t xml:space="preserve">(Shen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HPV2 is the only alpha type among them. A co-infected library contributes to more than one genus, so this is composition, not prevalence. The two cells beside each bar are that type’s assigned and detection-level counts among the 7,800 unselected-skin RNA libraries here, shaded only where non-zero; the assigned column is empty throughout.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is abundant</w:t>
            </w:r>
            <w:r>
              <w:t xml:space="preserve"> </w:t>
            </w:r>
            <w:r>
              <w:rPr>
                <w:i/>
                <w:iCs/>
              </w:rPr>
              <w:t xml:space="preserve">and</w:t>
            </w:r>
            <w:r>
              <w:t xml:space="preserve"> </w:t>
            </w:r>
            <w:r>
              <w:t xml:space="preserve">productive, the conjunction the reservoir-to-disease inference assumes; HPV2 is its only occupant. The reservoir is present in DNA and near-absent from the assigned RNA catalog.</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Arroyo Mühr et al. 2021; Hultin et al. 2019;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a genome that nothing selects for is lost from the expanding clone, dispensability being what permits that loss rather than what causes it</w:t>
      </w:r>
      <w:r>
        <w:t xml:space="preserve"> </w:t>
      </w:r>
      <w:r>
        <w:t xml:space="preserve">(You et al. 2004)</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Nor does absent transcription imply clearance: episomal genomes may persist silently or with intermittent activity below the detection limit of bulk RNA sequencing, and the absence of productive transcription in established lesions does not exclude a transient viral contribution at earlier stages of carcinogenesis. Son and colleagues found elevated beta-HPV activity in sun-exposed skin. This finding does not conflict with our quiet reservoir. Their study observed local activity in keratinocyte clones. Our study used whole biopsies without sorting for ultraviolet exposure. A signal arising from small keratinocyte clones is diluted when averaged across an entire biopsy. The same logic applies to the HPV8-driven expansion of Lrig1⁺ follicular stem cells in actinic keratosis</w:t>
      </w:r>
      <w:r>
        <w:t xml:space="preserve"> </w:t>
      </w:r>
      <w:r>
        <w:t xml:space="preserve">(Morgan et al. 2024)</w:t>
      </w:r>
      <w:r>
        <w:t xml:space="preserve">. We nevertheless agree on viral presence, as we recovered trace HPV from 62.5% of AK libraries, although HPV8 itself, among the commonest beta types in skin DNA, was absent from every RNA library screened here (</w:t>
      </w:r>
      <w:hyperlink w:anchor="fig-reservoir">
        <w:r>
          <w:rPr>
            <w:rStyle w:val="Hyperlink"/>
          </w:rPr>
          <w:t xml:space="preserve">Figure 5</w:t>
        </w:r>
      </w:hyperlink>
      <w:r>
        <w:t xml:space="preserve">). That absence argues against persistent productive HPV8 transcription in established lesions while remaining compatible with transient, focal or latent activity.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 HPV2 makes the same point from the reservoir side: abundant in skin DNA and productive in warts, it shows that the assay detects productive transcription when present and that silence is not intrinsic to all cutaneous papillomaviruses.</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3"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 [to be completed]</w:t>
      </w:r>
    </w:p>
    <w:bookmarkEnd w:id="53"/>
    <w:bookmarkStart w:id="54"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4"/>
    <w:bookmarkStart w:id="5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6">
        <w:r>
          <w:rPr>
            <w:rStyle w:val="Hyperlink"/>
          </w:rPr>
          <w:t xml:space="preserve">https://pave.niaid.nih.gov</w:t>
        </w:r>
      </w:hyperlink>
      <w:r>
        <w:t xml:space="preserve">) and NCBI RefSeq. No new sequencing data were generated.</w:t>
      </w:r>
    </w:p>
    <w:bookmarkEnd w:id="57"/>
    <w:bookmarkStart w:id="58" w:name="conflict-of-interest"/>
    <w:p>
      <w:pPr>
        <w:pStyle w:val="Heading2"/>
      </w:pPr>
      <w:r>
        <w:t xml:space="preserve">Conflict of Interest</w:t>
      </w:r>
    </w:p>
    <w:p>
      <w:pPr>
        <w:pStyle w:val="FirstParagraph"/>
      </w:pPr>
      <w:r>
        <w:t xml:space="preserve">The authors state no conflict of interest.</w:t>
      </w:r>
    </w:p>
    <w:bookmarkEnd w:id="58"/>
    <w:bookmarkStart w:id="59"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9"/>
    <w:bookmarkStart w:id="60"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60"/>
    <w:bookmarkStart w:id="160" w:name="references"/>
    <w:p>
      <w:pPr>
        <w:pStyle w:val="Heading2"/>
      </w:pPr>
      <w:r>
        <w:t xml:space="preserve">References</w:t>
      </w:r>
    </w:p>
    <w:bookmarkStart w:id="159" w:name="refs"/>
    <w:bookmarkStart w:id="62" w:name="ref-adey2013"/>
    <w:p>
      <w:pPr>
        <w:pStyle w:val="Bibliography"/>
      </w:pPr>
      <w:r>
        <w:t xml:space="preserve">Adey A, Burton JN, Kitzman JO, Hiatt JB, Lewis AP, Martin BK, et al.</w:t>
      </w:r>
      <w:r>
        <w:t xml:space="preserve"> </w:t>
      </w:r>
      <w:hyperlink r:id="rId61">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2"/>
    <w:bookmarkStart w:id="64" w:name="ref-antonsson2000"/>
    <w:p>
      <w:pPr>
        <w:pStyle w:val="Bibliography"/>
      </w:pPr>
      <w:r>
        <w:t xml:space="preserve">Antonsson A, Forslund O, Ekberg H, Sterner G, Hansson BG.</w:t>
      </w:r>
      <w:r>
        <w:t xml:space="preserve"> </w:t>
      </w:r>
      <w:hyperlink r:id="rId63">
        <w:r>
          <w:rPr>
            <w:rStyle w:val="Hyperlink"/>
          </w:rPr>
          <w:t xml:space="preserve">The ubiquity and impressive genomic diversity of human skin papillomaviruses suggest a commensalic nature of these viruses</w:t>
        </w:r>
      </w:hyperlink>
      <w:r>
        <w:t xml:space="preserve">. Journal of Virology. 2000;74(24):11636–41</w:t>
      </w:r>
    </w:p>
    <w:bookmarkEnd w:id="64"/>
    <w:bookmarkStart w:id="66" w:name="ref-arron2011"/>
    <w:p>
      <w:pPr>
        <w:pStyle w:val="Bibliography"/>
      </w:pPr>
      <w:r>
        <w:t xml:space="preserve">Arron ST, Graham Ruby J, Dybbro E, Ganem D, DeRisi JL.</w:t>
      </w:r>
      <w:r>
        <w:t xml:space="preserve"> </w:t>
      </w:r>
      <w:hyperlink r:id="rId65">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6"/>
    <w:bookmarkStart w:id="68" w:name="ref-arroyomuhr2021"/>
    <w:p>
      <w:pPr>
        <w:pStyle w:val="Bibliography"/>
      </w:pPr>
      <w:r>
        <w:t xml:space="preserve">Arroyo Mühr LS, Hultin E, Dillner J.</w:t>
      </w:r>
      <w:r>
        <w:t xml:space="preserve"> </w:t>
      </w:r>
      <w:hyperlink r:id="rId67">
        <w:r>
          <w:rPr>
            <w:rStyle w:val="Hyperlink"/>
          </w:rPr>
          <w:t xml:space="preserve">Transcription of human papillomaviruses in nonmelanoma skin cancers of the immunosuppressed</w:t>
        </w:r>
      </w:hyperlink>
      <w:r>
        <w:t xml:space="preserve">. International Journal of Cancer. 2021;149(6):1341–7</w:t>
      </w:r>
    </w:p>
    <w:bookmarkEnd w:id="68"/>
    <w:bookmarkStart w:id="70" w:name="ref-asplund2019"/>
    <w:p>
      <w:pPr>
        <w:pStyle w:val="Bibliography"/>
      </w:pPr>
      <w:r>
        <w:t xml:space="preserve">Asplund M, Kjartansdóttir KR, Mollerup S, Vinner L, Fridholm H, Herrera JAR, et al.</w:t>
      </w:r>
      <w:r>
        <w:t xml:space="preserve"> </w:t>
      </w:r>
      <w:hyperlink r:id="rId69">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0"/>
    <w:bookmarkStart w:id="72" w:name="ref-bhargava2025"/>
    <w:p>
      <w:pPr>
        <w:pStyle w:val="Bibliography"/>
      </w:pPr>
      <w:r>
        <w:t xml:space="preserve">Bhargava D, Labadie A, Hanson-Rios-Stutz RL, Goodyke A, Moses EM, Das AS, et al.</w:t>
      </w:r>
      <w:r>
        <w:t xml:space="preserve"> </w:t>
      </w:r>
      <w:hyperlink r:id="rId71">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2"/>
    <w:bookmarkStart w:id="74" w:name="ref-bzhalava2014"/>
    <w:p>
      <w:pPr>
        <w:pStyle w:val="Bibliography"/>
      </w:pPr>
      <w:r>
        <w:t xml:space="preserve">Bzhalava D, Arroyo Mühr LS, Lagheden C, Ekström J, Forslund O, Dillner J, et al.</w:t>
      </w:r>
      <w:r>
        <w:t xml:space="preserve"> </w:t>
      </w:r>
      <w:hyperlink r:id="rId73">
        <w:r>
          <w:rPr>
            <w:rStyle w:val="Hyperlink"/>
          </w:rPr>
          <w:t xml:space="preserve">Deep sequencing extends the diversity of human papillomaviruses in human skin</w:t>
        </w:r>
      </w:hyperlink>
      <w:r>
        <w:t xml:space="preserve">. Scientific Reports. 2014;4:5807</w:t>
      </w:r>
    </w:p>
    <w:bookmarkEnd w:id="74"/>
    <w:bookmarkStart w:id="76" w:name="ref-cantalupo2015"/>
    <w:p>
      <w:pPr>
        <w:pStyle w:val="Bibliography"/>
      </w:pPr>
      <w:r>
        <w:t xml:space="preserve">Cantalupo PG, Katz JP, Pipas JM.</w:t>
      </w:r>
      <w:r>
        <w:t xml:space="preserve"> </w:t>
      </w:r>
      <w:hyperlink r:id="rId75">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76"/>
    <w:bookmarkStart w:id="78" w:name="ref-cantalupo2019"/>
    <w:p>
      <w:pPr>
        <w:pStyle w:val="Bibliography"/>
      </w:pPr>
      <w:r>
        <w:t xml:space="preserve">Cantalupo PG, Pipas JM.</w:t>
      </w:r>
      <w:r>
        <w:t xml:space="preserve"> </w:t>
      </w:r>
      <w:hyperlink r:id="rId77">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78"/>
    <w:bookmarkStart w:id="80" w:name="ref-chen2018"/>
    <w:p>
      <w:pPr>
        <w:pStyle w:val="Bibliography"/>
      </w:pPr>
      <w:r>
        <w:t xml:space="preserve">Chen S, Zhou Y, Chen Y, Gu J.</w:t>
      </w:r>
      <w:r>
        <w:t xml:space="preserve"> </w:t>
      </w:r>
      <w:hyperlink r:id="rId79">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0"/>
    <w:bookmarkStart w:id="82" w:name="ref-chikhi2024"/>
    <w:p>
      <w:pPr>
        <w:pStyle w:val="Bibliography"/>
      </w:pPr>
      <w:r>
        <w:t xml:space="preserve">Chikhi R, Raffestin B, Korobeynikov A, Edgar R, Babaian A.</w:t>
      </w:r>
      <w:r>
        <w:t xml:space="preserve"> </w:t>
      </w:r>
      <w:hyperlink r:id="rId81">
        <w:r>
          <w:rPr>
            <w:rStyle w:val="Hyperlink"/>
          </w:rPr>
          <w:t xml:space="preserve">Logan: Planetary-scale genome assembly surveys life’s diversity</w:t>
        </w:r>
      </w:hyperlink>
      <w:r>
        <w:t xml:space="preserve">. bioRxiv. 2024;</w:t>
      </w:r>
    </w:p>
    <w:bookmarkEnd w:id="82"/>
    <w:bookmarkStart w:id="84" w:name="ref-danecek2021"/>
    <w:p>
      <w:pPr>
        <w:pStyle w:val="Bibliography"/>
      </w:pPr>
      <w:r>
        <w:t xml:space="preserve">Danecek P, Bonfield JK, Liddle J, Marshall J, Ohan V, Pollard MO, et al.</w:t>
      </w:r>
      <w:r>
        <w:t xml:space="preserve"> </w:t>
      </w:r>
      <w:hyperlink r:id="rId83">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4"/>
    <w:bookmarkStart w:id="86" w:name="ref-devitt2019"/>
    <w:p>
      <w:pPr>
        <w:pStyle w:val="Bibliography"/>
      </w:pPr>
      <w:r>
        <w:t xml:space="preserve">Devitt K, Hanson SJ, Tuong ZK, McMeniman E, Soyer HP, Frazer IH, et al.</w:t>
      </w:r>
      <w:r>
        <w:t xml:space="preserve"> </w:t>
      </w:r>
      <w:hyperlink r:id="rId85">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86"/>
    <w:bookmarkStart w:id="88" w:name="ref-ditommaso2017"/>
    <w:p>
      <w:pPr>
        <w:pStyle w:val="Bibliography"/>
      </w:pPr>
      <w:r>
        <w:t xml:space="preserve">Di Tommaso P, Chatzou M, Floden EW, Prieto Barja P, Palumbo E, Notredame C.</w:t>
      </w:r>
      <w:r>
        <w:t xml:space="preserve"> </w:t>
      </w:r>
      <w:hyperlink r:id="rId87">
        <w:r>
          <w:rPr>
            <w:rStyle w:val="Hyperlink"/>
          </w:rPr>
          <w:t xml:space="preserve">Nextflow enables reproducible computational workflows</w:t>
        </w:r>
      </w:hyperlink>
      <w:r>
        <w:t xml:space="preserve">. Nature Biotechnology. 2017;35(4):316–9</w:t>
      </w:r>
    </w:p>
    <w:bookmarkEnd w:id="88"/>
    <w:bookmarkStart w:id="90" w:name="ref-dobin2013"/>
    <w:p>
      <w:pPr>
        <w:pStyle w:val="Bibliography"/>
      </w:pPr>
      <w:r>
        <w:t xml:space="preserve">Dobin A, Davis CA, Schlesinger F, Drenkow J, Zaleski C, Jha S, et al.</w:t>
      </w:r>
      <w:r>
        <w:t xml:space="preserve"> </w:t>
      </w:r>
      <w:hyperlink r:id="rId89">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0"/>
    <w:bookmarkStart w:id="91" w:name="ref-doorbar2023"/>
    <w:p>
      <w:pPr>
        <w:pStyle w:val="Bibliography"/>
      </w:pPr>
      <w:r>
        <w:t xml:space="preserve">Doorbar J. The human papillomavirus twilight zone: Latency, immune control and subclinical infection. Tumour Virus Research. 2023;16:200268</w:t>
      </w:r>
    </w:p>
    <w:bookmarkEnd w:id="91"/>
    <w:bookmarkStart w:id="92" w:name="ref-doorbar2012"/>
    <w:p>
      <w:pPr>
        <w:pStyle w:val="Bibliography"/>
      </w:pPr>
      <w:r>
        <w:t xml:space="preserve">Doorbar J, Quint W, Banks L, Bravo IG, Stoler M, Broker TR, et al. The biology and life-cycle of human papillomaviruses. Vaccine. 2012;30(Suppl 5):F55–70</w:t>
      </w:r>
    </w:p>
    <w:bookmarkEnd w:id="92"/>
    <w:bookmarkStart w:id="93"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3"/>
    <w:bookmarkStart w:id="95" w:name="ref-edgar2022"/>
    <w:p>
      <w:pPr>
        <w:pStyle w:val="Bibliography"/>
      </w:pPr>
      <w:r>
        <w:t xml:space="preserve">Edgar RC, Taylor B, Lin V, Altman T, Barbera P, Meleshko D, et al.</w:t>
      </w:r>
      <w:r>
        <w:t xml:space="preserve"> </w:t>
      </w:r>
      <w:hyperlink r:id="rId94">
        <w:r>
          <w:rPr>
            <w:rStyle w:val="Hyperlink"/>
          </w:rPr>
          <w:t xml:space="preserve">Petabase-scale sequence alignment catalyses viral discovery</w:t>
        </w:r>
      </w:hyperlink>
      <w:r>
        <w:t xml:space="preserve">. Nature. 2022;602:142–7</w:t>
      </w:r>
    </w:p>
    <w:bookmarkEnd w:id="95"/>
    <w:bookmarkStart w:id="97" w:name="ref-fujimoto2019"/>
    <w:p>
      <w:pPr>
        <w:pStyle w:val="Bibliography"/>
      </w:pPr>
      <w:r>
        <w:t xml:space="preserve">Fujimoto M, Matsuzaki I, Takahashi Y, Iwahashi Y, Warigaya K, Kojima F, et al.</w:t>
      </w:r>
      <w:r>
        <w:t xml:space="preserve"> </w:t>
      </w:r>
      <w:hyperlink r:id="rId96">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97"/>
    <w:bookmarkStart w:id="99" w:name="ref-gihawi2023"/>
    <w:p>
      <w:pPr>
        <w:pStyle w:val="Bibliography"/>
      </w:pPr>
      <w:r>
        <w:t xml:space="preserve">Gihawi A, Ge Y, Lu J, Puiu D, Xu A, Cooper CS, et al.</w:t>
      </w:r>
      <w:r>
        <w:t xml:space="preserve"> </w:t>
      </w:r>
      <w:hyperlink r:id="rId98">
        <w:r>
          <w:rPr>
            <w:rStyle w:val="Hyperlink"/>
          </w:rPr>
          <w:t xml:space="preserve">Major data analysis errors invalidate cancer microbiome findings</w:t>
        </w:r>
      </w:hyperlink>
      <w:r>
        <w:t xml:space="preserve">. mBio. 2023;14(5):e0160723</w:t>
      </w:r>
    </w:p>
    <w:bookmarkEnd w:id="99"/>
    <w:bookmarkStart w:id="101"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0">
        <w:r>
          <w:rPr>
            <w:rStyle w:val="Hyperlink"/>
          </w:rPr>
          <w:t xml:space="preserve">https://mc-stan.org/rstanarm/</w:t>
        </w:r>
      </w:hyperlink>
    </w:p>
    <w:bookmarkEnd w:id="101"/>
    <w:bookmarkStart w:id="102" w:name="ref-howley2015"/>
    <w:p>
      <w:pPr>
        <w:pStyle w:val="Bibliography"/>
      </w:pPr>
      <w:r>
        <w:t xml:space="preserve">Howley PM, Pfister HJ. Beta genus papillomaviruses and skin cancer. Virology. 2015;479-480:290–6</w:t>
      </w:r>
    </w:p>
    <w:bookmarkEnd w:id="102"/>
    <w:bookmarkStart w:id="104" w:name="ref-hultin2019"/>
    <w:p>
      <w:pPr>
        <w:pStyle w:val="Bibliography"/>
      </w:pPr>
      <w:r>
        <w:t xml:space="preserve">Hultin E, Arroyo Mühr LS, Lagheden C, Dillner J.</w:t>
      </w:r>
      <w:r>
        <w:t xml:space="preserve"> </w:t>
      </w:r>
      <w:hyperlink r:id="rId103">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4"/>
    <w:bookmarkStart w:id="106" w:name="ref-kazemian2015"/>
    <w:p>
      <w:pPr>
        <w:pStyle w:val="Bibliography"/>
      </w:pPr>
      <w:r>
        <w:t xml:space="preserve">Kazemian M, Ren M, Lin J-X, Liao W, Spolski R, Leonard WJ.</w:t>
      </w:r>
      <w:r>
        <w:t xml:space="preserve"> </w:t>
      </w:r>
      <w:hyperlink r:id="rId105">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06"/>
    <w:bookmarkStart w:id="108" w:name="ref-lambert2021"/>
    <w:p>
      <w:pPr>
        <w:pStyle w:val="Bibliography"/>
      </w:pPr>
      <w:r>
        <w:t xml:space="preserve">Lambert PF, Münger K, Rösl F, Hasche D, Tommasino M.</w:t>
      </w:r>
      <w:r>
        <w:t xml:space="preserve"> </w:t>
      </w:r>
      <w:hyperlink r:id="rId107">
        <w:r>
          <w:rPr>
            <w:rStyle w:val="Hyperlink"/>
          </w:rPr>
          <w:t xml:space="preserve">Beta human papillomaviruses and skin cancer</w:t>
        </w:r>
      </w:hyperlink>
      <w:r>
        <w:t xml:space="preserve">. Nature. 2021;588(7838):E20–1</w:t>
      </w:r>
    </w:p>
    <w:bookmarkEnd w:id="108"/>
    <w:bookmarkStart w:id="110" w:name="ref-leiendecker2023"/>
    <w:p>
      <w:pPr>
        <w:pStyle w:val="Bibliography"/>
      </w:pPr>
      <w:r>
        <w:t xml:space="preserve">Leiendecker L, Neumann T, Jung PS, Cronin SM, Steinacker TL, Schleiffer A, et al.</w:t>
      </w:r>
      <w:r>
        <w:t xml:space="preserve"> </w:t>
      </w:r>
      <w:hyperlink r:id="rId109">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0"/>
    <w:bookmarkStart w:id="112" w:name="ref-leinonen2011"/>
    <w:p>
      <w:pPr>
        <w:pStyle w:val="Bibliography"/>
      </w:pPr>
      <w:r>
        <w:t xml:space="preserve">Leinonen R, Sugawara H, Shumway M.</w:t>
      </w:r>
      <w:r>
        <w:t xml:space="preserve"> </w:t>
      </w:r>
      <w:hyperlink r:id="rId111">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2"/>
    <w:bookmarkStart w:id="114" w:name="ref-liao2014"/>
    <w:p>
      <w:pPr>
        <w:pStyle w:val="Bibliography"/>
      </w:pPr>
      <w:r>
        <w:t xml:space="preserve">Liao Y, Smyth GK, Shi W.</w:t>
      </w:r>
      <w:r>
        <w:t xml:space="preserve"> </w:t>
      </w:r>
      <w:hyperlink r:id="rId113">
        <w:r>
          <w:rPr>
            <w:rStyle w:val="Hyperlink"/>
          </w:rPr>
          <w:t xml:space="preserve">featureCounts: An efficient general purpose program for assigning sequence reads to genomic features</w:t>
        </w:r>
      </w:hyperlink>
      <w:r>
        <w:t xml:space="preserve">. Bioinformatics. 2014;30(7):923–30</w:t>
      </w:r>
    </w:p>
    <w:bookmarkEnd w:id="114"/>
    <w:bookmarkStart w:id="116" w:name="ref-ma2014"/>
    <w:p>
      <w:pPr>
        <w:pStyle w:val="Bibliography"/>
      </w:pPr>
      <w:r>
        <w:t xml:space="preserve">Ma Y, Madupu R, Karaoz U, Nossa CW, Yang L, Yooseph S, et al.</w:t>
      </w:r>
      <w:r>
        <w:t xml:space="preserve"> </w:t>
      </w:r>
      <w:hyperlink r:id="rId115">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16"/>
    <w:bookmarkStart w:id="118" w:name="ref-morgan2024"/>
    <w:p>
      <w:pPr>
        <w:pStyle w:val="Bibliography"/>
      </w:pPr>
      <w:r>
        <w:t xml:space="preserve">Morgan HJ, Olivero C, Shorning BY, Gibbs A, Phillips AL, Ananthan L, et al.</w:t>
      </w:r>
      <w:r>
        <w:t xml:space="preserve"> </w:t>
      </w:r>
      <w:hyperlink r:id="rId117">
        <w:r>
          <w:rPr>
            <w:rStyle w:val="Hyperlink"/>
          </w:rPr>
          <w:t xml:space="preserve">HPV8</w:t>
        </w:r>
        <w:r>
          <w:rPr>
            <w:rStyle w:val="Hyperlink"/>
          </w:rPr>
          <w:t xml:space="preserve">-induced</w:t>
        </w:r>
        <w:r>
          <w:rPr>
            <w:rStyle w:val="Hyperlink"/>
          </w:rPr>
          <w:t xml:space="preserve"> </w:t>
        </w:r>
        <w:r>
          <w:rPr>
            <w:rStyle w:val="Hyperlink"/>
          </w:rPr>
          <w:t xml:space="preserve">STAT3</w:t>
        </w:r>
        <w:r>
          <w:rPr>
            <w:rStyle w:val="Hyperlink"/>
          </w:rPr>
          <w:t xml:space="preserve"> </w:t>
        </w:r>
        <w:r>
          <w:rPr>
            <w:rStyle w:val="Hyperlink"/>
          </w:rPr>
          <w:t xml:space="preserve">activation led keratinocyte stem cell expansion in human actinic keratoses</w:t>
        </w:r>
      </w:hyperlink>
      <w:r>
        <w:t xml:space="preserve">. JCI Insight. 2024;9(15):e177898</w:t>
      </w:r>
    </w:p>
    <w:bookmarkEnd w:id="118"/>
    <w:bookmarkStart w:id="120" w:name="ref-oh2026"/>
    <w:p>
      <w:pPr>
        <w:pStyle w:val="Bibliography"/>
      </w:pPr>
      <w:r>
        <w:t xml:space="preserve">Oh CC, Tan GS, Ng JWK, Lim TKH, Cheo FF, Tang PY, et al.</w:t>
      </w:r>
      <w:r>
        <w:t xml:space="preserve"> </w:t>
      </w:r>
      <w:hyperlink r:id="rId119">
        <w:r>
          <w:rPr>
            <w:rStyle w:val="Hyperlink"/>
          </w:rPr>
          <w:t xml:space="preserve">Human papillomavirus diversity in asian individuals with cutaneous squamous cell carcinoma</w:t>
        </w:r>
      </w:hyperlink>
      <w:r>
        <w:t xml:space="preserve">. JAMA Dermatology. 2026;162(5):509–14</w:t>
      </w:r>
    </w:p>
    <w:bookmarkEnd w:id="120"/>
    <w:bookmarkStart w:id="122" w:name="ref-purdie2005"/>
    <w:p>
      <w:pPr>
        <w:pStyle w:val="Bibliography"/>
      </w:pPr>
      <w:r>
        <w:t xml:space="preserve">Purdie KJ, Surentheran T, Sterling JC, Bell L, McGregor JM, Proby CM, et al.</w:t>
      </w:r>
      <w:r>
        <w:t xml:space="preserve"> </w:t>
      </w:r>
      <w:hyperlink r:id="rId121">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2"/>
    <w:bookmarkStart w:id="124" w:name="ref-rehm2022"/>
    <w:p>
      <w:pPr>
        <w:pStyle w:val="Bibliography"/>
      </w:pPr>
      <w:r>
        <w:t xml:space="preserve">Rehm TM, Straub E, Iftner T, Stubenrauch F.</w:t>
      </w:r>
      <w:r>
        <w:t xml:space="preserve"> </w:t>
      </w:r>
      <w:hyperlink r:id="rId123">
        <w:r>
          <w:rPr>
            <w:rStyle w:val="Hyperlink"/>
          </w:rPr>
          <w:t xml:space="preserve">Restriction of viral gene expression and replication prevents immortalization of human keratinocytes by a beta-human papillomavirus</w:t>
        </w:r>
      </w:hyperlink>
      <w:r>
        <w:t xml:space="preserve">. Proceedings of the National Academy of Sciences. 2022;119(11):e2118930119</w:t>
      </w:r>
    </w:p>
    <w:bookmarkEnd w:id="124"/>
    <w:bookmarkStart w:id="126" w:name="ref-rollison2021"/>
    <w:p>
      <w:pPr>
        <w:pStyle w:val="Bibliography"/>
      </w:pPr>
      <w:r>
        <w:t xml:space="preserve">Rollison DE, Amorrortu RP, Zhao Y, Messina JL, Schell MJ, Fenske NA, et al.</w:t>
      </w:r>
      <w:r>
        <w:t xml:space="preserve"> </w:t>
      </w:r>
      <w:hyperlink r:id="rId125">
        <w:r>
          <w:rPr>
            <w:rStyle w:val="Hyperlink"/>
          </w:rPr>
          <w:t xml:space="preserve">Cutaneous human papillomaviruses and the risk of keratinocyte carcinomas</w:t>
        </w:r>
      </w:hyperlink>
      <w:r>
        <w:t xml:space="preserve">. Cancer Research. 2021;81(17):4628–38</w:t>
      </w:r>
    </w:p>
    <w:bookmarkEnd w:id="126"/>
    <w:bookmarkStart w:id="128" w:name="ref-rollison2019sites"/>
    <w:p>
      <w:pPr>
        <w:pStyle w:val="Bibliography"/>
      </w:pPr>
      <w:r>
        <w:t xml:space="preserve">Rollison DE, Schell MJ, Fenske NA, Cherpelis B, Messina JL, Giuliano AR, et al.</w:t>
      </w:r>
      <w:r>
        <w:t xml:space="preserve"> </w:t>
      </w:r>
      <w:hyperlink r:id="rId127">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28"/>
    <w:bookmarkStart w:id="130" w:name="ref-rollison2019"/>
    <w:p>
      <w:pPr>
        <w:pStyle w:val="Bibliography"/>
      </w:pPr>
      <w:r>
        <w:t xml:space="preserve">Rollison DE, Viarisio D, Amorrortu RP, Gheit T, Tommasino M.</w:t>
      </w:r>
      <w:r>
        <w:t xml:space="preserve"> </w:t>
      </w:r>
      <w:hyperlink r:id="rId129">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0"/>
    <w:bookmarkStart w:id="132" w:name="ref-saeidian2023"/>
    <w:p>
      <w:pPr>
        <w:pStyle w:val="Bibliography"/>
      </w:pPr>
      <w:r>
        <w:t xml:space="preserve">Saeidian AH, Youssefian L, Naji M, Mahmoudi H, Barnada SM, Huang C, et al.</w:t>
      </w:r>
      <w:r>
        <w:t xml:space="preserve"> </w:t>
      </w:r>
      <w:hyperlink r:id="rId131">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2"/>
    <w:bookmarkStart w:id="134" w:name="ref-selitsky2020"/>
    <w:p>
      <w:pPr>
        <w:pStyle w:val="Bibliography"/>
      </w:pPr>
      <w:r>
        <w:t xml:space="preserve">Selitsky SR, Marron D, Hollern D, Mose LE, Hoadley KA, Jones C, et al.</w:t>
      </w:r>
      <w:r>
        <w:t xml:space="preserve"> </w:t>
      </w:r>
      <w:hyperlink r:id="rId133">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34"/>
    <w:bookmarkStart w:id="136" w:name="ref-shenpv2026"/>
    <w:p>
      <w:pPr>
        <w:pStyle w:val="Bibliography"/>
      </w:pPr>
      <w:r>
        <w:t xml:space="preserve">Shen JYQ, Chikhi R, Korobeynikov A, Babaian A.</w:t>
      </w:r>
      <w:r>
        <w:t xml:space="preserve"> </w:t>
      </w:r>
      <w:hyperlink r:id="rId135">
        <w:r>
          <w:rPr>
            <w:rStyle w:val="Hyperlink"/>
          </w:rPr>
          <w:t xml:space="preserve">Petabase-scale papillomavirus discovery</w:t>
        </w:r>
      </w:hyperlink>
      <w:r>
        <w:t xml:space="preserve">. bioRxiv. 2026;</w:t>
      </w:r>
    </w:p>
    <w:bookmarkEnd w:id="136"/>
    <w:bookmarkStart w:id="138" w:name="ref-shen2016"/>
    <w:p>
      <w:pPr>
        <w:pStyle w:val="Bibliography"/>
      </w:pPr>
      <w:r>
        <w:t xml:space="preserve">Shen W, Le S, Li Y, Hu F.</w:t>
      </w:r>
      <w:r>
        <w:t xml:space="preserve"> </w:t>
      </w:r>
      <w:hyperlink r:id="rId137">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38"/>
    <w:bookmarkStart w:id="140" w:name="ref-son2025"/>
    <w:p>
      <w:pPr>
        <w:pStyle w:val="Bibliography"/>
      </w:pPr>
      <w:r>
        <w:t xml:space="preserve">Son HG, Ha DT, Xia Y, Li T, Blandin J, Oka T, et al.</w:t>
      </w:r>
      <w:r>
        <w:t xml:space="preserve"> </w:t>
      </w:r>
      <w:hyperlink r:id="rId139">
        <w:r>
          <w:rPr>
            <w:rStyle w:val="Hyperlink"/>
          </w:rPr>
          <w:t xml:space="preserve">Commensal papillomavirus immunity preserves the homeostasis of highly mutated normal skin</w:t>
        </w:r>
      </w:hyperlink>
      <w:r>
        <w:t xml:space="preserve">. Cancer Cell. 2025;43(1):36–48.e10</w:t>
      </w:r>
    </w:p>
    <w:bookmarkEnd w:id="140"/>
    <w:bookmarkStart w:id="142" w:name="ref-strickley2019"/>
    <w:p>
      <w:pPr>
        <w:pStyle w:val="Bibliography"/>
      </w:pPr>
      <w:r>
        <w:t xml:space="preserve">Strickley JD, Messerschmidt JL, Awad ME, Li T, Hasegawa T, Ha DT, et al.</w:t>
      </w:r>
      <w:r>
        <w:t xml:space="preserve"> </w:t>
      </w:r>
      <w:hyperlink r:id="rId141">
        <w:r>
          <w:rPr>
            <w:rStyle w:val="Hyperlink"/>
          </w:rPr>
          <w:t xml:space="preserve">Immunity to commensal papillomaviruses protects against skin cancer</w:t>
        </w:r>
      </w:hyperlink>
      <w:r>
        <w:t xml:space="preserve">. Nature. 2019;575(7783):519–22</w:t>
      </w:r>
    </w:p>
    <w:bookmarkEnd w:id="142"/>
    <w:bookmarkStart w:id="144" w:name="ref-strickley2021"/>
    <w:p>
      <w:pPr>
        <w:pStyle w:val="Bibliography"/>
      </w:pPr>
      <w:r>
        <w:t xml:space="preserve">Strickley JD, Messerschmidt JL, Jenson AB, Joh J, Demehri S.</w:t>
      </w:r>
      <w:r>
        <w:t xml:space="preserve"> </w:t>
      </w:r>
      <w:hyperlink r:id="rId143">
        <w:r>
          <w:rPr>
            <w:rStyle w:val="Hyperlink"/>
          </w:rPr>
          <w:t xml:space="preserve">Reply to: Beta human papillomaviruses and skin cancer</w:t>
        </w:r>
      </w:hyperlink>
      <w:r>
        <w:t xml:space="preserve">. Nature. 2021;588(7838):E22–3</w:t>
      </w:r>
    </w:p>
    <w:bookmarkEnd w:id="144"/>
    <w:bookmarkStart w:id="146" w:name="ref-vandoorslaer2017"/>
    <w:p>
      <w:pPr>
        <w:pStyle w:val="Bibliography"/>
      </w:pPr>
      <w:r>
        <w:t xml:space="preserve">Van Doorslaer K, Li Z, Xirasagar S, Maes P, Kaminsky D, Liou D, et al.</w:t>
      </w:r>
      <w:r>
        <w:t xml:space="preserve"> </w:t>
      </w:r>
      <w:hyperlink r:id="rId145">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46"/>
    <w:bookmarkStart w:id="148" w:name="ref-vandiver2021"/>
    <w:p>
      <w:pPr>
        <w:pStyle w:val="Bibliography"/>
      </w:pPr>
      <w:r>
        <w:t xml:space="preserve">Vandiver AR, Thomas BJ, Karimzada M, Knowles BC, Botten GA, Spreafico R, et al.</w:t>
      </w:r>
      <w:r>
        <w:t xml:space="preserve"> </w:t>
      </w:r>
      <w:hyperlink r:id="rId147">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48"/>
    <w:bookmarkStart w:id="150" w:name="ref-viarisio2018"/>
    <w:p>
      <w:pPr>
        <w:pStyle w:val="Bibliography"/>
      </w:pPr>
      <w:r>
        <w:t xml:space="preserve">Viarisio D, Müller-Decker K, Accardi R, Robitaille A, Dürst M, Beer K, et al.</w:t>
      </w:r>
      <w:r>
        <w:t xml:space="preserve"> </w:t>
      </w:r>
      <w:hyperlink r:id="rId149">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0"/>
    <w:bookmarkStart w:id="152" w:name="ref-weissenborn2012"/>
    <w:p>
      <w:pPr>
        <w:pStyle w:val="Bibliography"/>
      </w:pPr>
      <w:r>
        <w:t xml:space="preserve">Weissenborn S, Neale RE, Waterboer T, Abeni D, Bouwes Bavinck JN, Green AC, et al.</w:t>
      </w:r>
      <w:r>
        <w:t xml:space="preserve"> </w:t>
      </w:r>
      <w:hyperlink r:id="rId151">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2"/>
    <w:bookmarkStart w:id="154" w:name="ref-wenande2025"/>
    <w:p>
      <w:pPr>
        <w:pStyle w:val="Bibliography"/>
      </w:pPr>
      <w:r>
        <w:t xml:space="preserve">Wenande E, Hastrup A, Wiegell S, Philipsen PA, Thomsen NB, Demehri S, et al.</w:t>
      </w:r>
      <w:r>
        <w:t xml:space="preserve"> </w:t>
      </w:r>
      <w:hyperlink r:id="rId153">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54"/>
    <w:bookmarkStart w:id="156" w:name="ref-wood2019"/>
    <w:p>
      <w:pPr>
        <w:pStyle w:val="Bibliography"/>
      </w:pPr>
      <w:r>
        <w:t xml:space="preserve">Wood DE, Lu J, Langmead B.</w:t>
      </w:r>
      <w:r>
        <w:t xml:space="preserve"> </w:t>
      </w:r>
      <w:hyperlink r:id="rId155">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56"/>
    <w:bookmarkStart w:id="158" w:name="ref-you2004"/>
    <w:p>
      <w:pPr>
        <w:pStyle w:val="Bibliography"/>
      </w:pPr>
      <w:r>
        <w:t xml:space="preserve">You J, Croyle JL, Nishimura A, Ozato K, Howley PM.</w:t>
      </w:r>
      <w:r>
        <w:t xml:space="preserve"> </w:t>
      </w:r>
      <w:hyperlink r:id="rId157">
        <w:r>
          <w:rPr>
            <w:rStyle w:val="Hyperlink"/>
          </w:rPr>
          <w:t xml:space="preserve">Interaction of the bovine papillomavirus</w:t>
        </w:r>
        <w:r>
          <w:rPr>
            <w:rStyle w:val="Hyperlink"/>
          </w:rPr>
          <w:t xml:space="preserve"> </w:t>
        </w:r>
        <w:r>
          <w:rPr>
            <w:rStyle w:val="Hyperlink"/>
          </w:rPr>
          <w:t xml:space="preserve">E2</w:t>
        </w:r>
        <w:r>
          <w:rPr>
            <w:rStyle w:val="Hyperlink"/>
          </w:rPr>
          <w:t xml:space="preserve"> </w:t>
        </w:r>
        <w:r>
          <w:rPr>
            <w:rStyle w:val="Hyperlink"/>
          </w:rPr>
          <w:t xml:space="preserve">protein with</w:t>
        </w:r>
        <w:r>
          <w:rPr>
            <w:rStyle w:val="Hyperlink"/>
          </w:rPr>
          <w:t xml:space="preserve"> </w:t>
        </w:r>
        <w:r>
          <w:rPr>
            <w:rStyle w:val="Hyperlink"/>
          </w:rPr>
          <w:t xml:space="preserve">Brd4</w:t>
        </w:r>
        <w:r>
          <w:rPr>
            <w:rStyle w:val="Hyperlink"/>
          </w:rPr>
          <w:t xml:space="preserve"> </w:t>
        </w:r>
        <w:r>
          <w:rPr>
            <w:rStyle w:val="Hyperlink"/>
          </w:rPr>
          <w:t xml:space="preserve">tethers the viral</w:t>
        </w:r>
        <w:r>
          <w:rPr>
            <w:rStyle w:val="Hyperlink"/>
          </w:rPr>
          <w:t xml:space="preserve"> </w:t>
        </w:r>
        <w:r>
          <w:rPr>
            <w:rStyle w:val="Hyperlink"/>
          </w:rPr>
          <w:t xml:space="preserve">DNA</w:t>
        </w:r>
        <w:r>
          <w:rPr>
            <w:rStyle w:val="Hyperlink"/>
          </w:rPr>
          <w:t xml:space="preserve"> </w:t>
        </w:r>
        <w:r>
          <w:rPr>
            <w:rStyle w:val="Hyperlink"/>
          </w:rPr>
          <w:t xml:space="preserve">to host mitotic chromosomes</w:t>
        </w:r>
      </w:hyperlink>
      <w:r>
        <w:t xml:space="preserve">. Cell. 2004;117(3):349–60</w:t>
      </w:r>
    </w:p>
    <w:bookmarkEnd w:id="158"/>
    <w:bookmarkEnd w:id="159"/>
    <w:bookmarkEnd w:id="160"/>
    <w:bookmarkStart w:id="206" w:name="supplementary-material"/>
    <w:p>
      <w:pPr>
        <w:pStyle w:val="Heading1"/>
      </w:pPr>
      <w:r>
        <w:t xml:space="preserve">Supplementary Material</w:t>
      </w:r>
    </w:p>
    <w:bookmarkStart w:id="161" w:name="supplementary-materials-and-methods"/>
    <w:p>
      <w:pPr>
        <w:pStyle w:val="Heading2"/>
      </w:pPr>
      <w:r>
        <w:t xml:space="preserve">Supplementary Materials and Methods</w:t>
      </w:r>
    </w:p>
    <w:bookmarkEnd w:id="161"/>
    <w:bookmarkStart w:id="175" w:name="methods"/>
    <w:p>
      <w:pPr>
        <w:pStyle w:val="Heading2"/>
      </w:pPr>
      <w:r>
        <w:t xml:space="preserve">Methods</w:t>
      </w:r>
    </w:p>
    <w:bookmarkStart w:id="16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2"/>
    <w:bookmarkStart w:id="16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3"/>
    <w:bookmarkStart w:id="16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4"/>
    <w:bookmarkStart w:id="16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5"/>
    <w:bookmarkStart w:id="16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66"/>
    <w:bookmarkStart w:id="16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67"/>
    <w:bookmarkStart w:id="16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68"/>
    <w:bookmarkStart w:id="16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69"/>
    <w:bookmarkStart w:id="17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0"/>
    <w:bookmarkStart w:id="17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1"/>
    <w:bookmarkStart w:id="17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2"/>
    <w:bookmarkStart w:id="173"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3"/>
    <w:bookmarkStart w:id="174"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4"/>
    <w:bookmarkEnd w:id="175"/>
    <w:bookmarkStart w:id="203"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79" w:name="suppfig-depth"/>
          <w:p>
            <w:pPr>
              <w:pStyle w:val="Compact"/>
              <w:jc w:val="center"/>
            </w:pPr>
            <w:r>
              <w:drawing>
                <wp:inline>
                  <wp:extent cx="5943600" cy="3714749"/>
                  <wp:effectExtent b="0" l="0" r="0" t="0"/>
                  <wp:docPr descr="" title="" id="177" name="Picture"/>
                  <a:graphic>
                    <a:graphicData uri="http://schemas.openxmlformats.org/drawingml/2006/picture">
                      <pic:pic>
                        <pic:nvPicPr>
                          <pic:cNvPr descr="figureS1.png" id="178" name="Picture"/>
                          <pic:cNvPicPr>
                            <a:picLocks noChangeArrowheads="1" noChangeAspect="1"/>
                          </pic:cNvPicPr>
                        </pic:nvPicPr>
                        <pic:blipFill>
                          <a:blip r:embed="rId176"/>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7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3" w:name="suppfig-trace"/>
          <w:p>
            <w:pPr>
              <w:pStyle w:val="Compact"/>
              <w:jc w:val="center"/>
            </w:pPr>
            <w:r>
              <w:drawing>
                <wp:inline>
                  <wp:extent cx="5943600" cy="3302000"/>
                  <wp:effectExtent b="0" l="0" r="0" t="0"/>
                  <wp:docPr descr="" title="" id="181" name="Picture"/>
                  <a:graphic>
                    <a:graphicData uri="http://schemas.openxmlformats.org/drawingml/2006/picture">
                      <pic:pic>
                        <pic:nvPicPr>
                          <pic:cNvPr descr="figureS2.png" id="182" name="Picture"/>
                          <pic:cNvPicPr>
                            <a:picLocks noChangeArrowheads="1" noChangeAspect="1"/>
                          </pic:cNvPicPr>
                        </pic:nvPicPr>
                        <pic:blipFill>
                          <a:blip r:embed="rId180"/>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7" w:name="suppfig-types"/>
          <w:p>
            <w:pPr>
              <w:pStyle w:val="Compact"/>
              <w:jc w:val="center"/>
            </w:pPr>
            <w:r>
              <w:drawing>
                <wp:inline>
                  <wp:extent cx="5943600" cy="2993813"/>
                  <wp:effectExtent b="0" l="0" r="0" t="0"/>
                  <wp:docPr descr="" title="" id="185" name="Picture"/>
                  <a:graphic>
                    <a:graphicData uri="http://schemas.openxmlformats.org/drawingml/2006/picture">
                      <pic:pic>
                        <pic:nvPicPr>
                          <pic:cNvPr descr="figureS3.png" id="186" name="Picture"/>
                          <pic:cNvPicPr>
                            <a:picLocks noChangeArrowheads="1" noChangeAspect="1"/>
                          </pic:cNvPicPr>
                        </pic:nvPicPr>
                        <pic:blipFill>
                          <a:blip r:embed="rId184"/>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fig-reservoir-gut"/>
          <w:p>
            <w:pPr>
              <w:pStyle w:val="Compact"/>
              <w:jc w:val="center"/>
            </w:pPr>
            <w:r>
              <w:drawing>
                <wp:inline>
                  <wp:extent cx="5943600" cy="4302034"/>
                  <wp:effectExtent b="0" l="0" r="0" t="0"/>
                  <wp:docPr descr="" title="" id="189" name="Picture"/>
                  <a:graphic>
                    <a:graphicData uri="http://schemas.openxmlformats.org/drawingml/2006/picture">
                      <pic:pic>
                        <pic:nvPicPr>
                          <pic:cNvPr descr="figureS4.png" id="190" name="Picture"/>
                          <pic:cNvPicPr>
                            <a:picLocks noChangeArrowheads="1" noChangeAspect="1"/>
                          </pic:cNvPicPr>
                        </pic:nvPicPr>
                        <pic:blipFill>
                          <a:blip r:embed="rId188"/>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fig-bayes"/>
          <w:p>
            <w:pPr>
              <w:pStyle w:val="Compact"/>
              <w:jc w:val="center"/>
            </w:pPr>
            <w:r>
              <w:drawing>
                <wp:inline>
                  <wp:extent cx="5943600" cy="2905759"/>
                  <wp:effectExtent b="0" l="0" r="0" t="0"/>
                  <wp:docPr descr="" title="" id="193" name="Picture"/>
                  <a:graphic>
                    <a:graphicData uri="http://schemas.openxmlformats.org/drawingml/2006/picture">
                      <pic:pic>
                        <pic:nvPicPr>
                          <pic:cNvPr descr="figureS5.png" id="194" name="Picture"/>
                          <pic:cNvPicPr>
                            <a:picLocks noChangeArrowheads="1" noChangeAspect="1"/>
                          </pic:cNvPicPr>
                        </pic:nvPicPr>
                        <pic:blipFill>
                          <a:blip r:embed="rId192"/>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2"/>
        </w:tc>
      </w:tr>
    </w:tbl>
    <w:bookmarkEnd w:id="203"/>
    <w:bookmarkStart w:id="205"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4"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4"/>
        </w:tc>
      </w:tr>
    </w:tbl>
    <w:bookmarkEnd w:id="205"/>
    <w:bookmarkEnd w:id="206"/>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hyperlink" Id="rId153" Target="https://doi.org/10.1001/jamadermatol.2025.0531" TargetMode="External" /><Relationship Type="http://schemas.openxmlformats.org/officeDocument/2006/relationships/hyperlink" Id="rId119" Target="https://doi.org/10.1001/jamadermatol.2026.0308" TargetMode="External" /><Relationship Type="http://schemas.openxmlformats.org/officeDocument/2006/relationships/hyperlink" Id="rId67" Target="https://doi.org/10.1002/ijc.33683" TargetMode="External" /><Relationship Type="http://schemas.openxmlformats.org/officeDocument/2006/relationships/hyperlink" Id="rId151" Target="https://doi.org/10.1007/s00430-011-0212-3" TargetMode="External" /><Relationship Type="http://schemas.openxmlformats.org/officeDocument/2006/relationships/hyperlink" Id="rId157" Target="https://doi.org/10.1016/S0092-8674(04)00402-7" TargetMode="External" /><Relationship Type="http://schemas.openxmlformats.org/officeDocument/2006/relationships/hyperlink" Id="rId139" Target="https://doi.org/10.1016/j.ccell.2024.11.013" TargetMode="External" /><Relationship Type="http://schemas.openxmlformats.org/officeDocument/2006/relationships/hyperlink" Id="rId69" Target="https://doi.org/10.1016/j.cmi.2019.04.028" TargetMode="External" /><Relationship Type="http://schemas.openxmlformats.org/officeDocument/2006/relationships/hyperlink" Id="rId77" Target="https://doi.org/10.1016/j.coviro.2019.07.010" TargetMode="External" /><Relationship Type="http://schemas.openxmlformats.org/officeDocument/2006/relationships/hyperlink" Id="rId85" Target="https://doi.org/10.1016/j.virol.2019.08.007" TargetMode="External" /><Relationship Type="http://schemas.openxmlformats.org/officeDocument/2006/relationships/hyperlink" Id="rId65" Target="https://doi.org/10.1038/jid.2011.91" TargetMode="External" /><Relationship Type="http://schemas.openxmlformats.org/officeDocument/2006/relationships/hyperlink" Id="rId61" Target="https://doi.org/10.1038/nature12064" TargetMode="External" /><Relationship Type="http://schemas.openxmlformats.org/officeDocument/2006/relationships/hyperlink" Id="rId87" Target="https://doi.org/10.1038/nbt.3820" TargetMode="External" /><Relationship Type="http://schemas.openxmlformats.org/officeDocument/2006/relationships/hyperlink" Id="rId141" Target="https://doi.org/10.1038/s41586-019-1719-9" TargetMode="External" /><Relationship Type="http://schemas.openxmlformats.org/officeDocument/2006/relationships/hyperlink" Id="rId107" Target="https://doi.org/10.1038/s41586-020-3023-0" TargetMode="External" /><Relationship Type="http://schemas.openxmlformats.org/officeDocument/2006/relationships/hyperlink" Id="rId143" Target="https://doi.org/10.1038/s41586-020-3024-z" TargetMode="External" /><Relationship Type="http://schemas.openxmlformats.org/officeDocument/2006/relationships/hyperlink" Id="rId94" Target="https://doi.org/10.1038/s41586-021-04332-2" TargetMode="External" /><Relationship Type="http://schemas.openxmlformats.org/officeDocument/2006/relationships/hyperlink" Id="rId73" Target="https://doi.org/10.1038/srep05807" TargetMode="External" /><Relationship Type="http://schemas.openxmlformats.org/officeDocument/2006/relationships/hyperlink" Id="rId123" Target="https://doi.org/10.1073/pnas.2118930119" TargetMode="External" /><Relationship Type="http://schemas.openxmlformats.org/officeDocument/2006/relationships/hyperlink" Id="rId89" Target="https://doi.org/10.1093/bioinformatics/bts635" TargetMode="External" /><Relationship Type="http://schemas.openxmlformats.org/officeDocument/2006/relationships/hyperlink" Id="rId113" Target="https://doi.org/10.1093/bioinformatics/btt656" TargetMode="External" /><Relationship Type="http://schemas.openxmlformats.org/officeDocument/2006/relationships/hyperlink" Id="rId79" Target="https://doi.org/10.1093/bioinformatics/bty560" TargetMode="External" /><Relationship Type="http://schemas.openxmlformats.org/officeDocument/2006/relationships/hyperlink" Id="rId83" Target="https://doi.org/10.1093/gigascience/giab008" TargetMode="External" /><Relationship Type="http://schemas.openxmlformats.org/officeDocument/2006/relationships/hyperlink" Id="rId127" Target="https://doi.org/10.1093/infdis/jiy577" TargetMode="External" /><Relationship Type="http://schemas.openxmlformats.org/officeDocument/2006/relationships/hyperlink" Id="rId111" Target="https://doi.org/10.1093/nar/gkq1019" TargetMode="External" /><Relationship Type="http://schemas.openxmlformats.org/officeDocument/2006/relationships/hyperlink" Id="rId145" Target="https://doi.org/10.1093/nar/gkw879" TargetMode="External" /><Relationship Type="http://schemas.openxmlformats.org/officeDocument/2006/relationships/hyperlink" Id="rId96" Target="https://doi.org/10.1097/DAD.0000000000001289" TargetMode="External" /><Relationship Type="http://schemas.openxmlformats.org/officeDocument/2006/relationships/hyperlink" Id="rId81" Target="https://doi.org/10.1101/2024.07.30.605881" TargetMode="External" /><Relationship Type="http://schemas.openxmlformats.org/officeDocument/2006/relationships/hyperlink" Id="rId147" Target="https://doi.org/10.1111/exd.14385" TargetMode="External" /><Relationship Type="http://schemas.openxmlformats.org/officeDocument/2006/relationships/hyperlink" Id="rId121" Target="https://doi.org/10.1111/j.0022-202X.2005.23635.x" TargetMode="External" /><Relationship Type="http://schemas.openxmlformats.org/officeDocument/2006/relationships/hyperlink" Id="rId115" Target="https://doi.org/10.1128/JVI.00093-14" TargetMode="External" /><Relationship Type="http://schemas.openxmlformats.org/officeDocument/2006/relationships/hyperlink" Id="rId105" Target="https://doi.org/10.1128/JVI.00822-15" TargetMode="External" /><Relationship Type="http://schemas.openxmlformats.org/officeDocument/2006/relationships/hyperlink" Id="rId129" Target="https://doi.org/10.1128/JVI.01003-18" TargetMode="External" /><Relationship Type="http://schemas.openxmlformats.org/officeDocument/2006/relationships/hyperlink" Id="rId75" Target="https://doi.org/10.1128/JVI.03365-14" TargetMode="External" /><Relationship Type="http://schemas.openxmlformats.org/officeDocument/2006/relationships/hyperlink" Id="rId63" Target="https://doi.org/10.1128/JVI.74.24.11636-11641.2000" TargetMode="External" /><Relationship Type="http://schemas.openxmlformats.org/officeDocument/2006/relationships/hyperlink" Id="rId98" Target="https://doi.org/10.1128/mbio.01607-23" TargetMode="External" /><Relationship Type="http://schemas.openxmlformats.org/officeDocument/2006/relationships/hyperlink" Id="rId71" Target="https://doi.org/10.1152/physiolgenomics.00093.2024" TargetMode="External" /><Relationship Type="http://schemas.openxmlformats.org/officeDocument/2006/relationships/hyperlink" Id="rId125" Target="https://doi.org/10.1158/0008-5472.CAN-21-0805" TargetMode="External" /><Relationship Type="http://schemas.openxmlformats.org/officeDocument/2006/relationships/hyperlink" Id="rId109" Target="https://doi.org/10.1158/2159-8290.CD-22-0489" TargetMode="External" /><Relationship Type="http://schemas.openxmlformats.org/officeDocument/2006/relationships/hyperlink" Id="rId131" Target="https://doi.org/10.1172/jci.insight.162558" TargetMode="External" /><Relationship Type="http://schemas.openxmlformats.org/officeDocument/2006/relationships/hyperlink" Id="rId117" Target="https://doi.org/10.1172/jci.insight.177898" TargetMode="External" /><Relationship Type="http://schemas.openxmlformats.org/officeDocument/2006/relationships/hyperlink" Id="rId133" Target="https://doi.org/10.1186/s12864-020-6483-6" TargetMode="External" /><Relationship Type="http://schemas.openxmlformats.org/officeDocument/2006/relationships/hyperlink" Id="rId155" Target="https://doi.org/10.1186/s13059-019-1891-0" TargetMode="External" /><Relationship Type="http://schemas.openxmlformats.org/officeDocument/2006/relationships/hyperlink" Id="rId137" Target="https://doi.org/10.1371/journal.pone.0163962" TargetMode="External" /><Relationship Type="http://schemas.openxmlformats.org/officeDocument/2006/relationships/hyperlink" Id="rId103" Target="https://doi.org/10.1371/journal.pone.0217942" TargetMode="External" /><Relationship Type="http://schemas.openxmlformats.org/officeDocument/2006/relationships/hyperlink" Id="rId149" Target="https://doi.org/10.1371/journal.ppat.1006783" TargetMode="External" /><Relationship Type="http://schemas.openxmlformats.org/officeDocument/2006/relationships/hyperlink" Id="rId135"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0"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1/jamadermatol.2025.0531" TargetMode="External" /><Relationship Type="http://schemas.openxmlformats.org/officeDocument/2006/relationships/hyperlink" Id="rId119" Target="https://doi.org/10.1001/jamadermatol.2026.0308" TargetMode="External" /><Relationship Type="http://schemas.openxmlformats.org/officeDocument/2006/relationships/hyperlink" Id="rId67" Target="https://doi.org/10.1002/ijc.33683" TargetMode="External" /><Relationship Type="http://schemas.openxmlformats.org/officeDocument/2006/relationships/hyperlink" Id="rId151" Target="https://doi.org/10.1007/s00430-011-0212-3" TargetMode="External" /><Relationship Type="http://schemas.openxmlformats.org/officeDocument/2006/relationships/hyperlink" Id="rId157" Target="https://doi.org/10.1016/S0092-8674(04)00402-7" TargetMode="External" /><Relationship Type="http://schemas.openxmlformats.org/officeDocument/2006/relationships/hyperlink" Id="rId139" Target="https://doi.org/10.1016/j.ccell.2024.11.013" TargetMode="External" /><Relationship Type="http://schemas.openxmlformats.org/officeDocument/2006/relationships/hyperlink" Id="rId69" Target="https://doi.org/10.1016/j.cmi.2019.04.028" TargetMode="External" /><Relationship Type="http://schemas.openxmlformats.org/officeDocument/2006/relationships/hyperlink" Id="rId77" Target="https://doi.org/10.1016/j.coviro.2019.07.010" TargetMode="External" /><Relationship Type="http://schemas.openxmlformats.org/officeDocument/2006/relationships/hyperlink" Id="rId85" Target="https://doi.org/10.1016/j.virol.2019.08.007" TargetMode="External" /><Relationship Type="http://schemas.openxmlformats.org/officeDocument/2006/relationships/hyperlink" Id="rId65" Target="https://doi.org/10.1038/jid.2011.91" TargetMode="External" /><Relationship Type="http://schemas.openxmlformats.org/officeDocument/2006/relationships/hyperlink" Id="rId61" Target="https://doi.org/10.1038/nature12064" TargetMode="External" /><Relationship Type="http://schemas.openxmlformats.org/officeDocument/2006/relationships/hyperlink" Id="rId87" Target="https://doi.org/10.1038/nbt.3820" TargetMode="External" /><Relationship Type="http://schemas.openxmlformats.org/officeDocument/2006/relationships/hyperlink" Id="rId141" Target="https://doi.org/10.1038/s41586-019-1719-9" TargetMode="External" /><Relationship Type="http://schemas.openxmlformats.org/officeDocument/2006/relationships/hyperlink" Id="rId107" Target="https://doi.org/10.1038/s41586-020-3023-0" TargetMode="External" /><Relationship Type="http://schemas.openxmlformats.org/officeDocument/2006/relationships/hyperlink" Id="rId143" Target="https://doi.org/10.1038/s41586-020-3024-z" TargetMode="External" /><Relationship Type="http://schemas.openxmlformats.org/officeDocument/2006/relationships/hyperlink" Id="rId94" Target="https://doi.org/10.1038/s41586-021-04332-2" TargetMode="External" /><Relationship Type="http://schemas.openxmlformats.org/officeDocument/2006/relationships/hyperlink" Id="rId73" Target="https://doi.org/10.1038/srep05807" TargetMode="External" /><Relationship Type="http://schemas.openxmlformats.org/officeDocument/2006/relationships/hyperlink" Id="rId123" Target="https://doi.org/10.1073/pnas.2118930119" TargetMode="External" /><Relationship Type="http://schemas.openxmlformats.org/officeDocument/2006/relationships/hyperlink" Id="rId89" Target="https://doi.org/10.1093/bioinformatics/bts635" TargetMode="External" /><Relationship Type="http://schemas.openxmlformats.org/officeDocument/2006/relationships/hyperlink" Id="rId113" Target="https://doi.org/10.1093/bioinformatics/btt656" TargetMode="External" /><Relationship Type="http://schemas.openxmlformats.org/officeDocument/2006/relationships/hyperlink" Id="rId79" Target="https://doi.org/10.1093/bioinformatics/bty560" TargetMode="External" /><Relationship Type="http://schemas.openxmlformats.org/officeDocument/2006/relationships/hyperlink" Id="rId83" Target="https://doi.org/10.1093/gigascience/giab008" TargetMode="External" /><Relationship Type="http://schemas.openxmlformats.org/officeDocument/2006/relationships/hyperlink" Id="rId127" Target="https://doi.org/10.1093/infdis/jiy577" TargetMode="External" /><Relationship Type="http://schemas.openxmlformats.org/officeDocument/2006/relationships/hyperlink" Id="rId111" Target="https://doi.org/10.1093/nar/gkq1019" TargetMode="External" /><Relationship Type="http://schemas.openxmlformats.org/officeDocument/2006/relationships/hyperlink" Id="rId145" Target="https://doi.org/10.1093/nar/gkw879" TargetMode="External" /><Relationship Type="http://schemas.openxmlformats.org/officeDocument/2006/relationships/hyperlink" Id="rId96" Target="https://doi.org/10.1097/DAD.0000000000001289" TargetMode="External" /><Relationship Type="http://schemas.openxmlformats.org/officeDocument/2006/relationships/hyperlink" Id="rId81" Target="https://doi.org/10.1101/2024.07.30.605881" TargetMode="External" /><Relationship Type="http://schemas.openxmlformats.org/officeDocument/2006/relationships/hyperlink" Id="rId147" Target="https://doi.org/10.1111/exd.14385" TargetMode="External" /><Relationship Type="http://schemas.openxmlformats.org/officeDocument/2006/relationships/hyperlink" Id="rId121" Target="https://doi.org/10.1111/j.0022-202X.2005.23635.x" TargetMode="External" /><Relationship Type="http://schemas.openxmlformats.org/officeDocument/2006/relationships/hyperlink" Id="rId115" Target="https://doi.org/10.1128/JVI.00093-14" TargetMode="External" /><Relationship Type="http://schemas.openxmlformats.org/officeDocument/2006/relationships/hyperlink" Id="rId105" Target="https://doi.org/10.1128/JVI.00822-15" TargetMode="External" /><Relationship Type="http://schemas.openxmlformats.org/officeDocument/2006/relationships/hyperlink" Id="rId129" Target="https://doi.org/10.1128/JVI.01003-18" TargetMode="External" /><Relationship Type="http://schemas.openxmlformats.org/officeDocument/2006/relationships/hyperlink" Id="rId75" Target="https://doi.org/10.1128/JVI.03365-14" TargetMode="External" /><Relationship Type="http://schemas.openxmlformats.org/officeDocument/2006/relationships/hyperlink" Id="rId63" Target="https://doi.org/10.1128/JVI.74.24.11636-11641.2000" TargetMode="External" /><Relationship Type="http://schemas.openxmlformats.org/officeDocument/2006/relationships/hyperlink" Id="rId98" Target="https://doi.org/10.1128/mbio.01607-23" TargetMode="External" /><Relationship Type="http://schemas.openxmlformats.org/officeDocument/2006/relationships/hyperlink" Id="rId71" Target="https://doi.org/10.1152/physiolgenomics.00093.2024" TargetMode="External" /><Relationship Type="http://schemas.openxmlformats.org/officeDocument/2006/relationships/hyperlink" Id="rId125" Target="https://doi.org/10.1158/0008-5472.CAN-21-0805" TargetMode="External" /><Relationship Type="http://schemas.openxmlformats.org/officeDocument/2006/relationships/hyperlink" Id="rId109" Target="https://doi.org/10.1158/2159-8290.CD-22-0489" TargetMode="External" /><Relationship Type="http://schemas.openxmlformats.org/officeDocument/2006/relationships/hyperlink" Id="rId131" Target="https://doi.org/10.1172/jci.insight.162558" TargetMode="External" /><Relationship Type="http://schemas.openxmlformats.org/officeDocument/2006/relationships/hyperlink" Id="rId117" Target="https://doi.org/10.1172/jci.insight.177898" TargetMode="External" /><Relationship Type="http://schemas.openxmlformats.org/officeDocument/2006/relationships/hyperlink" Id="rId133" Target="https://doi.org/10.1186/s12864-020-6483-6" TargetMode="External" /><Relationship Type="http://schemas.openxmlformats.org/officeDocument/2006/relationships/hyperlink" Id="rId155" Target="https://doi.org/10.1186/s13059-019-1891-0" TargetMode="External" /><Relationship Type="http://schemas.openxmlformats.org/officeDocument/2006/relationships/hyperlink" Id="rId137" Target="https://doi.org/10.1371/journal.pone.0163962" TargetMode="External" /><Relationship Type="http://schemas.openxmlformats.org/officeDocument/2006/relationships/hyperlink" Id="rId103" Target="https://doi.org/10.1371/journal.pone.0217942" TargetMode="External" /><Relationship Type="http://schemas.openxmlformats.org/officeDocument/2006/relationships/hyperlink" Id="rId149" Target="https://doi.org/10.1371/journal.ppat.1006783" TargetMode="External" /><Relationship Type="http://schemas.openxmlformats.org/officeDocument/2006/relationships/hyperlink" Id="rId135"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0"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2026-10-13T05:35:25Z</dcterms:created>
  <dcterms:modified xsi:type="dcterms:W3CDTF">2026-10-13T05:35:25Z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