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6.png" ContentType="image/png"/>
  <Override PartName="/word/media/rId42.png" ContentType="image/png"/>
  <Override PartName="/word/media/rId46.png" ContentType="image/png"/>
  <Override PartName="/word/media/rId52.png" ContentType="image/png"/>
  <Override PartName="/word/media/rId5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2026-08-28</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carcinoma and keratosis specimens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Sarah J. de Jong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Sarah Jill de Jong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In human tissue, viral load and transcription are highest in early precursor lesions and decline in established carcinoma, with beta-HPV loads in actinic keratosis exceeding those in the carcinomas that follow</w:t>
      </w:r>
      <w:r>
        <w:t xml:space="preserve"> </w:t>
      </w:r>
      <w:r>
        <w:t xml:space="preserve">(Borgogna et al. 2018; S. J. Weissenborn et al. 2005)</w:t>
      </w:r>
      <w:r>
        <w:t xml:space="preserve">. That decline is usually read as the model’s signature, but dispensability is a claim about requirement rather than about persistence, and a virus that is no longer needed can still be retained and transcribed. What carries the argument is that papillomavirus episomes are not maintained passively: they are tethered to host mitotic chromosomes by E2, and genomes that lose that tether are cleared as the cell divides</w:t>
      </w:r>
      <w:r>
        <w:t xml:space="preserve"> </w:t>
      </w:r>
      <w:r>
        <w:t xml:space="preserve">(You et al. 2004; Fisher 2015)</w:t>
      </w:r>
      <w:r>
        <w:t xml:space="preserve">. Once nothing selects for the genome it is therefore diluted out of the expanding clone, which makes the observed decline compatible with hit-and-run rather than diagnostic of it.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(J. Y. Q. 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33"/>
    <w:bookmarkStart w:id="34"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4"/>
    <w:bookmarkEnd w:id="35"/>
    <w:bookmarkStart w:id="63"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1"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Of the 34 libraries anywhere in the cohort in which HPV18 met the assignment criterion, 32 were cell lines and the remaining 2 engineered material, so no tissue library carried an assigned HPV18 at all; for HPV16, 24 of 28 were cell lines, leaving 4 in tissue (</w:t>
      </w:r>
      <w:hyperlink w:anchor="supptbl-types">
        <w:r>
          <w:rPr>
            <w:rStyle w:val="Hyperlink"/>
          </w:rPr>
          <w:t xml:space="preserve">Table S1</w:t>
        </w:r>
      </w:hyperlink>
      <w:r>
        <w:t xml:space="preserve">). This is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4.8% of productive controls, the two groups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group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(HSIL)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9" w:name="fig-integration"/>
          <w:p>
            <w:pPr>
              <w:pStyle w:val="Compact"/>
              <w:jc w:val="center"/>
            </w:pPr>
            <w:r>
              <w:drawing>
                <wp:inline>
                  <wp:extent cx="5943600" cy="4754880"/>
                  <wp:effectExtent b="0" l="0" r="0" t="0"/>
                  <wp:docPr descr="" title="" id="37" name="Picture"/>
                  <a:graphic>
                    <a:graphicData uri="http://schemas.openxmlformats.org/drawingml/2006/picture">
                      <pic:pic>
                        <pic:nvPicPr>
                          <pic:cNvPr descr="figure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sample group,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gray line)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squamous intraepithelial lesion (HSIL) and carcinoma, sequenced under one protocol with no cell line in the series; open gray circles are libraries and filled diamonds the arm medians, joined by a solid line; the dashed line at zero is parity, as in (</w:t>
            </w:r>
            <w:r>
              <w:rPr>
                <w:b/>
                <w:bCs/>
              </w:rPr>
              <w:t xml:space="preserve">a</w:t>
            </w:r>
            <w:r>
              <w:t xml:space="preserve">).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0"/>
          <w:p/>
        </w:tc>
      </w:tr>
    </w:tbl>
    <w:bookmarkEnd w:id="41"/>
    <w:bookmarkStart w:id="50"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group, sequenced most deeply of all (median 62.6M reads), reached it in 80% (median 229.6 RPM). In stark contrast, the neoplasia group reached this floor in only 1.5% of libraries (median 0.012 RPM), six orders of magnitude below the productive controls, despite being sequenced almost four times more deeply than they were (median 45.2M vs 12.2M reads). Unselected skin, once the EV material that the targeted queries had swept into it was reassigned to its own group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5" w:name="fig-rpm"/>
          <w:p>
            <w:pPr>
              <w:pStyle w:val="Compact"/>
              <w:jc w:val="center"/>
            </w:pPr>
            <w:r>
              <w:drawing>
                <wp:inline>
                  <wp:extent cx="5943600" cy="3632200"/>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and EV from a trace-level signal in skin neoplasia and unselected skin. Each point is one Kraken2-screened RNA-seq library, scored as papillomavirus reads per million (RPM: Papillomaviridae clade reads ÷ (unclassified + root reads) × 10⁶) and assigned to a sample group: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non-permissive tissue (cutaneous adipose, which has no stratified squamous compartment in which a papillomavirus could replicate; 334), and libraries with no recorded site (1,317; the residual group,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whereas neoplasia and unselected skin sit near zero (1.5% and 0.1% above floor) despite neoplasia being sequenced far more deeply than the productive controls (median 45.2M vs 12.2M reads). Group assignment is by metadata precedence with curated corrections (Methods): EV</w:t>
            </w:r>
            <w:r>
              <w:t xml:space="preserve"> </w:t>
            </w:r>
            <w:r>
              <w:rPr>
                <w:i/>
                <w:iCs/>
              </w:rPr>
              <w:t xml:space="preserve">cultures</w:t>
            </w:r>
            <w:r>
              <w:t xml:space="preserve"> </w:t>
            </w:r>
            <w:r>
              <w:t xml:space="preserve">(immortalized keratinocyte EV models) remain in the cell-line group, whereas the EV group holds the 10 EV patient skin biopsies.</w:t>
            </w:r>
          </w:p>
          <w:bookmarkEnd w:id="45"/>
        </w:tc>
      </w:tr>
    </w:tbl>
    <w:p>
      <w:pPr>
        <w:pStyle w:val="BodyText"/>
      </w:pPr>
      <w:r>
        <w:t xml:space="preserve">This gap is not explained by sequencing depth. Modeling productive-level detection (RPM ≥ floor) as a function of sample group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groups (OR 1.5, 0.4–5.2,</w:t>
      </w:r>
      <w:r>
        <w:t xml:space="preserve"> </w:t>
      </w:r>
      <w:r>
        <w:rPr>
          <w:i/>
          <w:iCs/>
        </w:rPr>
        <w:t xml:space="preserve">P</w:t>
      </w:r>
      <w:r>
        <w:t xml:space="preserve"> </w:t>
      </w:r>
      <w:r>
        <w:t xml:space="preserve">= 0.49) or within the neoplasia group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a signature consistent with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That trace can be taken apart further, because the pipeline writes per-gene read counts for every HPV-positive library. Among the 230 below-floor libraries of unselected skin and neoplasia, 63% carry no reads on any HPV gene at all, a Kraken2 k-mer call that does not survive alignment and gene assignment; 25% carry gene-mapped reads that never reach the productive threshold, 52 of those 57 being early-gene reads with the late program absent; and 13% clear it as low-burden productive infections (</w:t>
      </w:r>
      <w:hyperlink w:anchor="suppfig-trace">
        <w:r>
          <w:rPr>
            <w:rStyle w:val="Hyperlink"/>
          </w:rPr>
          <w:t xml:space="preserve">Figure S2</w:t>
        </w:r>
      </w:hyperlink>
      <w:r>
        <w:t xml:space="preserve">). The productive controls are the mirror image, 91% productive with a median late-read fraction of 0.367 against 0 across the trace. The sub-threshold signal is therefore neither wholly artifactual nor productive: a dominant technical floor overlying a minority carrying the early-without-late shape of latent or abortive infection, on the cutaneous beta and gamma types of</w:t>
      </w:r>
      <w:r>
        <w:t xml:space="preserve"> </w:t>
      </w:r>
      <w:hyperlink w:anchor="supptbl-trace">
        <w:r>
          <w:rPr>
            <w:rStyle w:val="Hyperlink"/>
          </w:rPr>
          <w:t xml:space="preserve">Table S6</w:t>
        </w:r>
      </w:hyperlink>
      <w:r>
        <w:t xml:space="preserve"> </w:t>
      </w:r>
      <w:r>
        <w:t xml:space="preserve">rather than the mucosal HPV16/HPV18 that cell-line contamination would deposit.</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6,736 libraries (62.2%) from SRA metadata and library-construction protocol text, and it is not balanced across groups, but the imbalance runs against the negative result rather than producing it: the neoplasia group is rRNA-depleted in 22.9% of libraries against 7.2% of unselected skin (</w:t>
      </w:r>
      <w:hyperlink w:anchor="supptbl-chem">
        <w:r>
          <w:rPr>
            <w:rStyle w:val="Hyperlink"/>
          </w:rPr>
          <w:t xml:space="preserve">Table S5</w:t>
        </w:r>
      </w:hyperlink>
      <w:r>
        <w:t xml:space="preserve">), while the productive controls, the group in which productive infection is abundant, contain no rRNA-depleted libraries at all. The group in which no productive infection is found was thus built, three times more often than its comparator, with the chemistry most favorable to finding it. Within the two groups of the contrast, and adjusting for depth and group, rRNA-depleted libraries were no more likely than poly-A libraries to carry any HPV read (OR 1.0, 95% CI 0.8–1.2,</w:t>
      </w:r>
      <w:r>
        <w:t xml:space="preserve"> </w:t>
      </w:r>
      <w:r>
        <w:rPr>
          <w:i/>
          <w:iCs/>
        </w:rPr>
        <w:t xml:space="preserve">P</w:t>
      </w:r>
      <w:r>
        <w:t xml:space="preserve"> </w:t>
      </w:r>
      <w:r>
        <w:t xml:space="preserve">= 0.93; OR 1.2, 1.0–1.4 across all groups).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group, reached the productive floor.</w:t>
      </w:r>
    </w:p>
    <w:p>
      <w:pPr>
        <w:pStyle w:val="BodyText"/>
      </w:pPr>
      <w:r>
        <w:t xml:space="preserve">Pooling actinic keratosis with carcinoma is a choice the data support rather than an assumption. Split on diagnosis, the group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group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groups run the complete viral program, capsid genes included: 90% of productive-control libraries and 95.5% of EV biopsies carry L1 reads (</w:t>
      </w:r>
      <w:hyperlink w:anchor="fig-orf">
        <w:r>
          <w:rPr>
            <w:rStyle w:val="Hyperlink"/>
          </w:rPr>
          <w:t xml:space="preserve">Figure 3</w:t>
        </w:r>
      </w:hyperlink>
      <w:r>
        <w:t xml:space="preserve"> </w:t>
      </w:r>
      <w:r>
        <w:t xml:space="preserve">a).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w:t>
      </w:r>
      <w:hyperlink w:anchor="fig-orf">
        <w:r>
          <w:rPr>
            <w:rStyle w:val="Hyperlink"/>
          </w:rPr>
          <w:t xml:space="preserve">Figure 3</w:t>
        </w:r>
      </w:hyperlink>
      <w:r>
        <w:t xml:space="preserve"> </w:t>
      </w:r>
      <w:r>
        <w:t xml:space="preserve">b): productive controls place 34.9% of their viral reads on the late genes against 6.4% on E6 and E7, and cell lines invert this exactly, 2.2% late against 66.6% oncogenic. Both of those are group-level summaries; read one library at a time, the same separation falls out of the productive criterion itself, with the productive controls and EV biopsies lying above the L1 ≥ 3 threshold and skin and neoplasia below it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9" w:name="fig-orf"/>
          <w:p>
            <w:pPr>
              <w:pStyle w:val="Compact"/>
              <w:jc w:val="center"/>
            </w:pPr>
            <w:r>
              <w:drawing>
                <wp:inline>
                  <wp:extent cx="5943600" cy="7594599"/>
                  <wp:effectExtent b="0" l="0" r="0" t="0"/>
                  <wp:docPr descr="" title="" id="47" name="Picture"/>
                  <a:graphic>
                    <a:graphicData uri="http://schemas.openxmlformats.org/drawingml/2006/picture">
                      <pic:pic>
                        <pic:nvPicPr>
                          <pic:cNvPr descr="figure3.png" id="48" name="Picture"/>
                          <pic:cNvPicPr>
                            <a:picLocks noChangeArrowheads="1" noChangeAspect="1"/>
                          </pic:cNvPicPr>
                        </pic:nvPicPr>
                        <pic:blipFill>
                          <a:blip r:embed="rId46"/>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Every panel is conditional on HPV positivity and successful transcript classification, so this figure describes the program of detected infections and is not a prevalence statement; the 413 libraries with a classification are distributed unevenly across groups, and each group’s</w:t>
            </w:r>
            <w:r>
              <w:t xml:space="preserve"> </w:t>
            </w:r>
            <w:r>
              <w:rPr>
                <w:i/>
                <w:iCs/>
              </w:rPr>
              <w:t xml:space="preserve">n</w:t>
            </w:r>
            <w:r>
              <w:t xml:space="preserve"> </w:t>
            </w:r>
            <w:r>
              <w:t xml:space="preserve">is printed on the panel. E5 is omitted, being absent from most beta- and gamma-types and zero in every group here. (</w:t>
            </w:r>
            <w:r>
              <w:rPr>
                <w:b/>
                <w:bCs/>
              </w:rPr>
              <w:t xml:space="preserve">a</w:t>
            </w:r>
            <w:r>
              <w:t xml:space="preserve">) Program breadth: the percentage of a group’s libraries carrying at least one read on each open reading frame, as a Beta-Binomial posterior mean under a weakly-informative Beta(0.5, 0.5) prior, as elsewhere in this work. Three shapes separate. Productive controls and EV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group and not the group.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9"/>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group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group is the conservative choice.</w:t>
      </w:r>
    </w:p>
    <w:bookmarkEnd w:id="50"/>
    <w:bookmarkStart w:id="51"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group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1"/>
    <w:bookmarkStart w:id="56" w:name="Xbfc31e8157dbfb58c369259a51fad30607fe5ee"/>
    <w:p>
      <w:pPr>
        <w:pStyle w:val="Heading3"/>
      </w:pPr>
      <w:r>
        <w:t xml:space="preserve">The HPV type landscape is partitioned by population</w:t>
      </w:r>
    </w:p>
    <w:p>
      <w:pPr>
        <w:pStyle w:val="FirstParagraph"/>
      </w:pPr>
      <w:r>
        <w:t xml:space="preserve">The HPV-type-by-group catalog (</w:t>
      </w:r>
      <w:hyperlink w:anchor="supptbl-types">
        <w:r>
          <w:rPr>
            <w:rStyle w:val="Hyperlink"/>
          </w:rPr>
          <w:t xml:space="preserve">Table S1</w:t>
        </w:r>
      </w:hyperlink>
      <w:r>
        <w:t xml:space="preserve">, drawn against the detection level in</w:t>
      </w:r>
      <w:r>
        <w:t xml:space="preserve"> </w:t>
      </w:r>
      <w:hyperlink w:anchor="suppfig-types">
        <w:r>
          <w:rPr>
            <w:rStyle w:val="Hyperlink"/>
          </w:rPr>
          <w:t xml:space="preserve">Figure S3</w:t>
        </w:r>
      </w:hyperlink>
      <w:r>
        <w:t xml:space="preserve">) recapitulates these conclusions in a single descriptive view, and the corrected grouping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group carries precisely the beta-types the syndrome is defined by (HPV9, HPV14, HPV20, HPV25, HPV47) alongside an alpha co-detection. Unselected skin, by contrast, contributes no HPV type at all above the two-library display threshold except two HPV18 contamination calls: its beta/gamma reservoir is real but sits entirely below the assignment threshold, and is recovered only at the detection level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cell lines are alpha, and unselected skin is flat and low across alpha, beta and gamma, with the study’s only nu detections. Cutaneous neoplasia is the one tissue group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detection-level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26 of the 148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is HPV11 with HPV42, which co-occur in 8 libraries, against 1 carrying HPV42 alone. We present this as a hypothesis rather than a finding, for the three reasons set out in</w:t>
      </w:r>
      <w:r>
        <w:t xml:space="preserve"> </w:t>
      </w:r>
      <w:hyperlink w:anchor="supptbl-coinf">
        <w:r>
          <w:rPr>
            <w:rStyle w:val="Hyperlink"/>
          </w:rPr>
          <w:t xml:space="preserve">Table S7</w:t>
        </w:r>
      </w:hyperlink>
      <w:r>
        <w:t xml:space="preserve">. The co-infected libraries are heavily pseudo-replicated, 13 of the 26 coming from 5 donors of one study, each sequenced in three fractions across two SRA submissions; the secondary type in a co-infection is usually near the detection threshold (median depth 9.0×, 39% below 5×), to the point that one donor’s MeRIP input and IP fractions call different second types; and requiring both partners to clear a stricter coverage bar leaves 3 HPV11/HPV42 libraries from 1 of those 5 donors. Whether the pairing reflects genuine dual infection, or only that a second type is called where it happens to be abundant, cannot be settled from this material.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5" w:name="fig-genus"/>
          <w:p>
            <w:pPr>
              <w:pStyle w:val="Compact"/>
              <w:jc w:val="center"/>
            </w:pPr>
            <w:r>
              <w:drawing>
                <wp:inline>
                  <wp:extent cx="5943600" cy="3622765"/>
                  <wp:effectExtent b="0" l="0" r="0" t="0"/>
                  <wp:docPr descr="" title="" id="53" name="Picture"/>
                  <a:graphic>
                    <a:graphicData uri="http://schemas.openxmlformats.org/drawingml/2006/picture">
                      <pic:pic>
                        <pic:nvPicPr>
                          <pic:cNvPr descr="figure4.png" id="54" name="Picture"/>
                          <pic:cNvPicPr>
                            <a:picLocks noChangeArrowheads="1" noChangeAspect="1"/>
                          </pic:cNvPicPr>
                        </pic:nvPicPr>
                        <pic:blipFill>
                          <a:blip r:embed="rId52"/>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detection-level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Each point is the prevalence of that genus within that sample group, meaning the percentage of the group’s libraries in which the genus was detected, estimated as a Beta-Binomial posterior mean under a weakly-informative Beta(0.5, 0.5) prior; the vertical bar through it is the 95% credible interval of that estimate, so it shows how firmly the prevalence is pinned and is wide wherever a group is small. The estimator is the one used in the two tables, so a point here and the corresponding table cell quote the same number. The figure printed above each point is the count of libraries in which the genus was detected; the denominator is the group size (Methods). Gray crosses mark groups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group need not sum to that group’s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group in which beta exceeds alpha (2.8% [1.4–4.6] versus 2.1% [0.94–3.7]), consistent with a beta-HPV footprint, though at prevalences one to two orders of magnitude below the productive groups. The mu genus (HPV1, the classic plantar-wart type) was detected in no group.</w:t>
            </w:r>
          </w:p>
          <w:bookmarkEnd w:id="55"/>
        </w:tc>
      </w:tr>
    </w:tbl>
    <w:bookmarkEnd w:id="56"/>
    <w:bookmarkStart w:id="61" w:name="Xc94572a3ef4b27bc3a0d8f6c316aa9f5c541806"/>
    <w:p>
      <w:pPr>
        <w:pStyle w:val="Heading3"/>
      </w:pPr>
      <w:r>
        <w:t xml:space="preserve">The reservoir the survey is silent against is visible in independent public DNA</w:t>
      </w:r>
    </w:p>
    <w:p>
      <w:pPr>
        <w:pStyle w:val="FirstParagraph"/>
      </w:pPr>
      <w:r>
        <w:t xml:space="preserve">A transcriptional survey can only report silence against a reservoir whose existence it assumes, and every group above is an RNA measurement made in one pipeline. To test the assumption outside RNA and outside this cohort, we re-tabulated the petabase-scale papillomavirus catalog of public metagenome assemblies</w:t>
      </w:r>
      <w:r>
        <w:t xml:space="preserve"> </w:t>
      </w:r>
      <w:r>
        <w:t xml:space="preserve">(J. Y. Q. Shen et al. 2026; Chikhi et al. 2024)</w:t>
      </w:r>
      <w:r>
        <w:t xml:space="preserve"> </w:t>
      </w:r>
      <w:r>
        <w:t xml:space="preserve">by body site (Methods). Skin metagenomes contribute 1,735 HPV-positive libraries whose genus composition is the cutaneous commensal profile: beta in 57.9% and gamma in 40.7% of those libraries, against alpha in 7.4% and mu in 1.8% (</w:t>
      </w:r>
      <w:hyperlink w:anchor="fig-reservoir">
        <w:r>
          <w:rPr>
            <w:rStyle w:val="Hyperlink"/>
          </w:rPr>
          <w:t xml:space="preserve">Figure 5</w:t>
        </w:r>
      </w:hyperlink>
      <w:r>
        <w:t xml:space="preserve">). These are compositions conditional on positivity, with the HPV-positive libraries of a body site as the denominator; no prevalence is quoted from this catalog, and none is needed for the comparison made here. That the read-out carries signal rather than assembly noise is established by applying the identical procedure to the other body sites (</w:t>
      </w:r>
      <w:hyperlink w:anchor="suppfig-reservoir-gut">
        <w:r>
          <w:rPr>
            <w:rStyle w:val="Hyperlink"/>
          </w:rPr>
          <w:t xml:space="preserve">Figure S4</w:t>
        </w:r>
      </w:hyperlink>
      <w:r>
        <w:t xml:space="preserve">), which recovers the textbook mucosal niche from vaginal DNA alone (alpha 84.5%, beta 0.4%, gamma 1.3%), with its classic high- and low-risk repertoire (HPV91, HPV51, HPV66, HPV67, HPV16, HPV90). Gut metagenomes in the same figure interleave mucosal alpha with cutaneous beta, the signature of a collection route that crosses perianal skin, and are therefore a control on the sampling route rather than a third reservoir.</w:t>
      </w:r>
    </w:p>
    <w:p>
      <w:pPr>
        <w:pStyle w:val="BodyText"/>
      </w:pPr>
      <w:r>
        <w:t xml:space="preserve">The types are where the two modalities meet, and they do not agree. The 14 commonest skin types in the DNA reservoir are HPV24, HPV12, HPV38, HPV20, HPV107, HPV173, HPV21, HPV8, HPV5, HPV75, HPV14, HPV15, HPV17, HPV2, led by HPV24 in 7.4% of HPV-positive skin libraries: beta and gamma types throughout except HPV2, the repertoire that our detection level recovers only as a trace (</w:t>
      </w:r>
      <w:hyperlink w:anchor="supptbl-trace">
        <w:r>
          <w:rPr>
            <w:rStyle w:val="Hyperlink"/>
          </w:rPr>
          <w:t xml:space="preserve">Table S6</w:t>
        </w:r>
      </w:hyperlink>
      <w:r>
        <w:t xml:space="preserve">) and that the assigned catalog of</w:t>
      </w:r>
      <w:r>
        <w:t xml:space="preserve"> </w:t>
      </w:r>
      <w:hyperlink w:anchor="supptbl-types">
        <w:r>
          <w:rPr>
            <w:rStyle w:val="Hyperlink"/>
          </w:rPr>
          <w:t xml:space="preserve">Table S1</w:t>
        </w:r>
      </w:hyperlink>
      <w:r>
        <w:t xml:space="preserve"> </w:t>
      </w:r>
      <w:r>
        <w:t xml:space="preserve">does not record in a single unselected-skin library. Set against our own 7,800 unselected-skin libraries, those 14 types together account for 0 assigned detections and 9 trace-level detections (</w:t>
      </w:r>
      <w:hyperlink w:anchor="fig-reservoir">
        <w:r>
          <w:rPr>
            <w:rStyle w:val="Hyperlink"/>
          </w:rPr>
          <w:t xml:space="preserve">Figure 5</w:t>
        </w:r>
      </w:hyperlink>
      <w:r>
        <w:t xml:space="preserve"> </w:t>
      </w:r>
      <w:r>
        <w:t xml:space="preserve">a). Read across every type rather than the commonest few, the disagreement is the general case and not a property of the commonest few: 102 of the 115 types present in the skin DNA reservoir are productive in no library of this study, 9 of the 22 productive types are absent from skin DNA altogether, and HPV2 alone is both abundant in the reservoir and productive here (</w:t>
      </w:r>
      <w:hyperlink w:anchor="fig-reservoir">
        <w:r>
          <w:rPr>
            <w:rStyle w:val="Hyperlink"/>
          </w:rPr>
          <w:t xml:space="preserve">Figure 5</w:t>
        </w:r>
      </w:hyperlink>
      <w:r>
        <w:t xml:space="preserve"> </w:t>
      </w:r>
      <w:r>
        <w:t xml:space="preserve">b). HPV8, the beta type most consistently associated with cutaneous carcinoma in the serological and DNA literature, is the sharpest case: 63 of the 1,735 HPV-positive skin DNA libraries carry it, against 0 of the 10,834 RNA libraries screened here at any level, assigned or trace. The reservoir this survey finds transcriptionally quiet is therefore not an assumption of the survey: it is independently present, in the expected genera and the expected types, in a different molecule and a different set of studies.</w:t>
      </w:r>
    </w:p>
    <w:p>
      <w:pPr>
        <w:pStyle w:val="BodyText"/>
      </w:pPr>
      <w:r>
        <w:t xml:space="preserve">Two further features of the DNA composition bear on the reference-panel limit of any typing scheme, ours included. 55.3% of HPV-positive skin libraries carry a contig that cannot be placed in a genus and 14.5% carry a cluster with no reference match at all, against 29.9% and 0.2% respectively in the vaginal libraries. The mucosal alpha types are exhaustively described and the cutaneous reservoir is not, consistent with the 229 skin types described without a reference genome</w:t>
      </w:r>
      <w:r>
        <w:t xml:space="preserve"> </w:t>
      </w:r>
      <w:r>
        <w:t xml:space="preserve">(Bzhalava et al. 2014)</w:t>
      </w:r>
      <w:r>
        <w:t xml:space="preserve">, so both the DNA composition above and our own type catalog are lower bounds on cutaneous diversity. The two arms also sample different compartments, surface swabs against bulk tissue, which we return to in the Discussion.</w:t>
      </w:r>
    </w:p>
    <w:tbl>
      <w:tblPr>
        <w:tblStyle w:val="Table"/>
        <w:tblW w:type="pct" w:w="5000"/>
        <w:tblLayout w:type="fixed"/>
        <w:tblLook w:firstRow="0" w:lastRow="0" w:firstColumn="0" w:lastColumn="0" w:noHBand="0" w:noVBand="0" w:val="0000"/>
      </w:tblPr>
      <w:tblGrid>
        <w:gridCol w:w="7920"/>
      </w:tblGrid>
      <w:tr>
        <w:tc>
          <w:tcPr/>
          <w:bookmarkStart w:id="60" w:name="fig-reservoir"/>
          <w:p>
            <w:pPr>
              <w:pStyle w:val="Compact"/>
              <w:jc w:val="center"/>
            </w:pPr>
            <w:r>
              <w:drawing>
                <wp:inline>
                  <wp:extent cx="5943600" cy="2601032"/>
                  <wp:effectExtent b="0" l="0" r="0" t="0"/>
                  <wp:docPr descr="" title="" id="58" name="Picture"/>
                  <a:graphic>
                    <a:graphicData uri="http://schemas.openxmlformats.org/drawingml/2006/picture">
                      <pic:pic>
                        <pic:nvPicPr>
                          <pic:cNvPr descr="figure5.png" id="59" name="Picture"/>
                          <pic:cNvPicPr>
                            <a:picLocks noChangeArrowheads="1" noChangeAspect="1"/>
                          </pic:cNvPicPr>
                        </pic:nvPicPr>
                        <pic:blipFill>
                          <a:blip r:embed="rId57"/>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from public metagenomes, against its transcriptional silence here. Re-tabulation of the Logan-wide papillomavirus catalog</w:t>
            </w:r>
            <w:r>
              <w:t xml:space="preserve"> </w:t>
            </w:r>
            <w:r>
              <w:t xml:space="preserve">(J. Y. Q. 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most frequent types in the skin reservoir, as the percentage of the 1,735 HPV-positive skin DNA libraries, colored by genus. The list runs to 14 rather than a round ten so that it reaches HPV2, the type panel B singles out, and because ranks 12 to 14 are tied on library count, so a shorter list would split a tie. A library carrying two types of different genera contributes to both, and the denominator is the site’s HPV-positive libraries, so nothing in this figure depends on how many metagenomes were screened. The two cells to the right of each bar are that type’s detections among the 7,800 unselected-skin RNA libraries of this study, in the assigned catalog of</w:t>
            </w:r>
            <w:r>
              <w:t xml:space="preserve"> </w:t>
            </w:r>
            <w:hyperlink w:anchor="supptbl-types">
              <w:r>
                <w:rPr>
                  <w:rStyle w:val="Hyperlink"/>
                </w:rPr>
                <w:t xml:space="preserve">Table S1</w:t>
              </w:r>
            </w:hyperlink>
            <w:r>
              <w:t xml:space="preserve"> </w:t>
            </w:r>
            <w:r>
              <w:t xml:space="preserve">and the detection-level catalog of</w:t>
            </w:r>
            <w:r>
              <w:t xml:space="preserve"> </w:t>
            </w:r>
            <w:hyperlink w:anchor="supptbl-trace">
              <w:r>
                <w:rPr>
                  <w:rStyle w:val="Hyperlink"/>
                </w:rPr>
                <w:t xml:space="preserve">Table S6</w:t>
              </w:r>
            </w:hyperlink>
            <w:r>
              <w:t xml:space="preserve"> </w:t>
            </w:r>
            <w:r>
              <w:t xml:space="preserve">respectively; cells are shaded only where the count is non-zero, so the blank assigned column is the reservoir’s transcriptional silence read straight off the figure. Every one of them is absent from the assigned RNA catalog of unselected skin, and present at most as a handful of trace-level detections. HPV2 is the only alpha type among them, and the only one that is productive anywhere in this study. (</w:t>
            </w:r>
            <w:r>
              <w:rPr>
                <w:b/>
                <w:bCs/>
              </w:rPr>
              <w:t xml:space="preserve">b</w:t>
            </w:r>
            <w:r>
              <w:t xml:space="preserve">) The same comparison across all 130 types resolved in either modality: how many skin DNA libraries carry the type, against how many libraries of this study transcribe it productively (warts and EV), both on a log</w:t>
            </w:r>
            <w:r>
              <w:rPr>
                <w:vertAlign w:val="subscript"/>
              </w:rPr>
              <w:t xml:space="preserve">10</w:t>
            </w:r>
            <w:r>
              <w:t xml:space="preserve">(</w:t>
            </w:r>
            <w:r>
              <w:rPr>
                <w:i/>
                <w:iCs/>
              </w:rPr>
              <w:t xml:space="preserve">n</w:t>
            </w:r>
            <w:r>
              <w:t xml:space="preserve"> </w:t>
            </w:r>
            <w:r>
              <w:t xml:space="preserve">+ 1) scale with points jittered to separate ties. Types at either extreme are labeled. The shaded corner is the conjunction the reservoir-to-disease inference assumes, abundant in skin DNA (≥ 15 libraries)</w:t>
            </w:r>
            <w:r>
              <w:t xml:space="preserve"> </w:t>
            </w:r>
            <w:r>
              <w:rPr>
                <w:i/>
                <w:iCs/>
              </w:rPr>
              <w:t xml:space="preserve">and</w:t>
            </w:r>
            <w:r>
              <w:t xml:space="preserve"> </w:t>
            </w:r>
            <w:r>
              <w:t xml:space="preserve">productive in RNA (≥ 5 libraries); HPV2 is the only type in it. 102 of the 115 types present in the skin reservoir are productive in no library at all, and 9 of the 22 productive types are absent from skin DNA entirely.</w:t>
            </w:r>
          </w:p>
          <w:bookmarkEnd w:id="60"/>
        </w:tc>
      </w:tr>
    </w:tbl>
    <w:bookmarkEnd w:id="61"/>
    <w:bookmarkStart w:id="62"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drawn as a forest plot in</w:t>
      </w:r>
      <w:r>
        <w:t xml:space="preserve"> </w:t>
      </w:r>
      <w:hyperlink w:anchor="suppfig-bayes">
        <w:r>
          <w:rPr>
            <w:rStyle w:val="Hyperlink"/>
          </w:rPr>
          <w:t xml:space="preserve">Figure S5</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62"/>
    <w:bookmarkEnd w:id="63"/>
    <w:bookmarkStart w:id="73"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64"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w:t>
      </w:r>
      <w:r>
        <w:t xml:space="preserve"> </w:t>
      </w:r>
      <w:r>
        <w:t xml:space="preserve">(Howley and Pfister 2015)</w:t>
      </w:r>
      <w:r>
        <w:t xml:space="preserve">. Dispensability is a claim about requirement rather than about persistence, and on its own it predicts nothing about transcription; what it removes is the pressure to retain the genome. Because papillomavirus episomes are maintained only by active tethering to mitotic chromosomes, and are cleared as the cell divides once that tether is lost</w:t>
      </w:r>
      <w:r>
        <w:t xml:space="preserve"> </w:t>
      </w:r>
      <w:r>
        <w:t xml:space="preserve">(You et al. 2004; Fisher 2015)</w:t>
      </w:r>
      <w:r>
        <w:t xml:space="preserve">, an unselected genome is diluted out of the expanding clone, and it is that step, not dispensability itself, which predicts viral load and transcription minimal or absent in established carcinoma.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group’s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a genome that nothing selects for is diluted out of the expanding tumour clone, dispensability being what permits that loss rather than what causes it</w:t>
      </w:r>
      <w:r>
        <w:t xml:space="preserve"> </w:t>
      </w:r>
      <w:r>
        <w:t xml:space="preserve">(Howley and Pfister 2015; Viarisio et al. 2018; Dorfer et al. 2021)</w:t>
      </w:r>
      <w:r>
        <w:t xml:space="preserve">; the same review literature also proposes that virus-induced recombinogenic activity contributes to the secondary loss of viral genomes from neoplastic cells</w:t>
      </w:r>
      <w:r>
        <w:t xml:space="preserve"> </w:t>
      </w:r>
      <w:r>
        <w:t xml:space="preserve">(Niller, Wolf, and Minarovits 2011)</w:t>
      </w:r>
      <w:r>
        <w:t xml:space="preserve">, which for beta-HPV would make the DNA-repair abrogation that constitutes the hit part of the mechanism of the run.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A further consideration is not a competing account of carcinogenesis but a property of the readout, and it applies specifically to the productive criterion. Late transcription and genome amplification are activated only in terminally differentiating suprabasal keratinocytes</w:t>
      </w:r>
      <w:r>
        <w:t xml:space="preserve"> </w:t>
      </w:r>
      <w:r>
        <w:t xml:space="preserve">(Doorbar et al. 2012; Graham 2017; Johansson and Schwartz 2013)</w:t>
      </w:r>
      <w:r>
        <w:t xml:space="preserve">, so an epithelium that differentiates poorly cannot run the late program whatever the virus is doing, and absent L1 in carcinoma is to that extent expected from tissue architecture rather than from viral quiescence. Our data bear on this directly. Were the deficit confined to the late program, the below-floor libraries of skin and neoplasia would still carry early-gene transcripts on an intact early region; instead 63% of them carry no reads on any HPV gene at all, and of the 57 that are gene-mapped but non-productive only 52 show the early-without-late shape (</w:t>
      </w:r>
      <w:hyperlink w:anchor="suppfig-trace">
        <w:r>
          <w:rPr>
            <w:rStyle w:val="Hyperlink"/>
          </w:rPr>
          <w:t xml:space="preserve">Figure S2</w:t>
        </w:r>
      </w:hyperlink>
      <w:r>
        <w:t xml:space="preserve">). What we measure in neoplasia is therefore not a productive program truncated at the capsid genes by a differentiation block, but the near-absence of viral transcription of any kind. The differentiation argument would still bound any claim about productive infection specifically in a poorly differentiated tumour, and we make none.</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64"/>
    <w:bookmarkStart w:id="65"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group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5"/>
    <w:bookmarkStart w:id="66"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(S. 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6"/>
    <w:bookmarkStart w:id="67" w:name="X91a902f70c1d8887abf473463cc49053a4d6d2d"/>
    <w:p>
      <w:pPr>
        <w:pStyle w:val="Heading3"/>
      </w:pPr>
      <w:r>
        <w:t xml:space="preserve">Actinic keratosis, HPV8, and what a bulk transcriptome cannot see</w:t>
      </w:r>
    </w:p>
    <w:p>
      <w:pPr>
        <w:pStyle w:val="FirstParagraph"/>
      </w:pPr>
      <w:r>
        <w:t xml:space="preserve">The precursor end of the neoplasia group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DNA side of the same question is not silent, which sharpens rather than resolves it: the independent metagenome catalog places HPV8 in 63 of 1,735 HPV-positive skin libraries, the eighth commonest type in that reservoir (</w:t>
      </w:r>
      <w:hyperlink w:anchor="fig-reservoir">
        <w:r>
          <w:rPr>
            <w:rStyle w:val="Hyperlink"/>
          </w:rPr>
          <w:t xml:space="preserve">Figure 5</w:t>
        </w:r>
      </w:hyperlink>
      <w:r>
        <w:t xml:space="preserve"> </w:t>
      </w:r>
      <w:r>
        <w:t xml:space="preserve">a), against 0 detections at any level here. The type most often named as the cutaneous carcinoma candidate is thus present on skin and, in this cohort, never transcribed above the detection floor.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7"/>
    <w:bookmarkStart w:id="68"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8"/>
    <w:bookmarkStart w:id="69"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9"/>
    <w:bookmarkStart w:id="70"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 Within those bounds the catalog is exactly the right instrument for the one job it is given here. Read as presence and nothing more, it establishes independently of our pipeline, our modality and our cohort that the cutaneous beta/gamma reservoir this survey reports as quiet is really there, in the expected genera and the expected types (</w:t>
      </w:r>
      <w:hyperlink w:anchor="fig-reservoir">
        <w:r>
          <w:rPr>
            <w:rStyle w:val="Hyperlink"/>
          </w:rPr>
          <w:t xml:space="preserve">Figure 5</w:t>
        </w:r>
      </w:hyperlink>
      <w:r>
        <w:t xml:space="preserve">), so the negative result is a statement about activity rather than about whether the virus was present to be transcribed. The two arms nonetheless sample different compartments, surface swabs against bulk tissue, as set out above; that difference bounds any quantitative comparison between them, which is why the reservoir is used here as corroboration of presence and never as a denominator for the transcriptional rate.</w:t>
      </w:r>
    </w:p>
    <w:bookmarkEnd w:id="70"/>
    <w:bookmarkStart w:id="71"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group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group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although the transcripts themselves bound the problem: decomposing the below-floor libraries by gene shows that 63% carry no reads on any HPV gene and are best read as a k-mer and cross-mapping floor, while a minority carry early-gene transcripts without the late program, the signature of latent or abortive infection, on cutaneous rather than mucosal types (</w:t>
      </w:r>
      <w:hyperlink w:anchor="suppfig-trace">
        <w:r>
          <w:rPr>
            <w:rStyle w:val="Hyperlink"/>
          </w:rPr>
          <w:t xml:space="preserve">Figure S2</w:t>
        </w:r>
      </w:hyperlink>
      <w:r>
        <w:t xml:space="preserve">). The sub-threshold trace is therefore neither wholly artifactual nor productive.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71"/>
    <w:bookmarkStart w:id="72"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72"/>
    <w:bookmarkEnd w:id="73"/>
    <w:bookmarkStart w:id="74"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Technology,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74"/>
    <w:bookmarkStart w:id="76" w:name="orcids"/>
    <w:p>
      <w:pPr>
        <w:pStyle w:val="Heading2"/>
      </w:pPr>
      <w:r>
        <w:t xml:space="preserve">ORCiDs</w:t>
      </w:r>
    </w:p>
    <w:p>
      <w:pPr>
        <w:pStyle w:val="FirstParagraph"/>
      </w:pPr>
      <w:r>
        <w:t xml:space="preserve">Taavi Päll:</w:t>
      </w:r>
      <w:r>
        <w:t xml:space="preserve"> </w:t>
      </w:r>
      <w:hyperlink r:id="rId75">
        <w:r>
          <w:rPr>
            <w:rStyle w:val="Hyperlink"/>
          </w:rPr>
          <w:t xml:space="preserve">https://orcid.org/0000-0001-7606-675X</w:t>
        </w:r>
      </w:hyperlink>
    </w:p>
    <w:p>
      <w:pPr>
        <w:pStyle w:val="BodyText"/>
      </w:pPr>
      <w:r>
        <w:t xml:space="preserve">Alla Piirsoo: [to be completed]</w:t>
      </w:r>
    </w:p>
    <w:p>
      <w:pPr>
        <w:pStyle w:val="BodyText"/>
      </w:pPr>
      <w:r>
        <w:t xml:space="preserve">Marko Piirsoo: [to be completed]</w:t>
      </w:r>
    </w:p>
    <w:bookmarkEnd w:id="76"/>
    <w:bookmarkStart w:id="77"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77"/>
    <w:bookmarkStart w:id="8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78">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79">
        <w:r>
          <w:rPr>
            <w:rStyle w:val="Hyperlink"/>
          </w:rPr>
          <w:t xml:space="preserve">https://pave.niaid.nih.gov</w:t>
        </w:r>
      </w:hyperlink>
      <w:r>
        <w:t xml:space="preserve">) and NCBI RefSeq. No new sequencing data were generated.</w:t>
      </w:r>
    </w:p>
    <w:bookmarkEnd w:id="80"/>
    <w:bookmarkStart w:id="81" w:name="conflict-of-interest"/>
    <w:p>
      <w:pPr>
        <w:pStyle w:val="Heading2"/>
      </w:pPr>
      <w:r>
        <w:t xml:space="preserve">Conflict of Interest</w:t>
      </w:r>
    </w:p>
    <w:p>
      <w:pPr>
        <w:pStyle w:val="FirstParagraph"/>
      </w:pPr>
      <w:r>
        <w:t xml:space="preserve">The authors state no conflict of interest.</w:t>
      </w:r>
    </w:p>
    <w:bookmarkEnd w:id="81"/>
    <w:bookmarkStart w:id="82"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82"/>
    <w:bookmarkStart w:id="83"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83"/>
    <w:bookmarkStart w:id="224" w:name="references"/>
    <w:p>
      <w:pPr>
        <w:pStyle w:val="Heading2"/>
      </w:pPr>
      <w:r>
        <w:t xml:space="preserve">References</w:t>
      </w:r>
    </w:p>
    <w:bookmarkStart w:id="223" w:name="refs"/>
    <w:bookmarkStart w:id="85" w:name="ref-adey2013"/>
    <w:p>
      <w:pPr>
        <w:pStyle w:val="Bibliography"/>
      </w:pPr>
      <w:r>
        <w:t xml:space="preserve">Adey, Andrew, Joshua N. Burton, Jacob O. Kitzman, Joseph B. Hiatt, Alexandra P. Lewis, Beth K. Martin, Ruolan Qiu, Choli Lee, and Jay Shendure.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84">
        <w:r>
          <w:rPr>
            <w:rStyle w:val="Hyperlink"/>
          </w:rPr>
          <w:t xml:space="preserve">https://doi.org/10.1038/nature12064</w:t>
        </w:r>
      </w:hyperlink>
      <w:r>
        <w:t xml:space="preserve">.</w:t>
      </w:r>
    </w:p>
    <w:bookmarkEnd w:id="85"/>
    <w:bookmarkStart w:id="87"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86">
        <w:r>
          <w:rPr>
            <w:rStyle w:val="Hyperlink"/>
          </w:rPr>
          <w:t xml:space="preserve">https://doi.org/10.1128/JVI.74.24.11636-11641.2000</w:t>
        </w:r>
      </w:hyperlink>
      <w:r>
        <w:t xml:space="preserve">.</w:t>
      </w:r>
    </w:p>
    <w:bookmarkEnd w:id="87"/>
    <w:bookmarkStart w:id="89" w:name="ref-arron2011"/>
    <w:p>
      <w:pPr>
        <w:pStyle w:val="Bibliography"/>
      </w:pPr>
      <w:r>
        <w:t xml:space="preserve">Arron, Sarah T., J. Graham Ruby, Eric Dybbro, Don Ganem, and Joseph L. DeRisi.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88">
        <w:r>
          <w:rPr>
            <w:rStyle w:val="Hyperlink"/>
          </w:rPr>
          <w:t xml:space="preserve">https://doi.org/10.1038/jid.2011.91</w:t>
        </w:r>
      </w:hyperlink>
      <w:r>
        <w:t xml:space="preserve">.</w:t>
      </w:r>
    </w:p>
    <w:bookmarkEnd w:id="89"/>
    <w:bookmarkStart w:id="91"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90">
        <w:r>
          <w:rPr>
            <w:rStyle w:val="Hyperlink"/>
          </w:rPr>
          <w:t xml:space="preserve">https://doi.org/10.1002/ijc.33683</w:t>
        </w:r>
      </w:hyperlink>
      <w:r>
        <w:t xml:space="preserve">.</w:t>
      </w:r>
    </w:p>
    <w:bookmarkEnd w:id="91"/>
    <w:bookmarkStart w:id="93"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92">
        <w:r>
          <w:rPr>
            <w:rStyle w:val="Hyperlink"/>
          </w:rPr>
          <w:t xml:space="preserve">https://doi.org/10.1016/j.cmi.2019.04.028</w:t>
        </w:r>
      </w:hyperlink>
      <w:r>
        <w:t xml:space="preserve">.</w:t>
      </w:r>
    </w:p>
    <w:bookmarkEnd w:id="93"/>
    <w:bookmarkStart w:id="95"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94">
        <w:r>
          <w:rPr>
            <w:rStyle w:val="Hyperlink"/>
          </w:rPr>
          <w:t xml:space="preserve">https://doi.org/10.1152/physiolgenomics.00093.2024</w:t>
        </w:r>
      </w:hyperlink>
      <w:r>
        <w:t xml:space="preserve">.</w:t>
      </w:r>
    </w:p>
    <w:bookmarkEnd w:id="95"/>
    <w:bookmarkStart w:id="96" w:name="ref-borgogna2014"/>
    <w:p>
      <w:pPr>
        <w:pStyle w:val="Bibliography"/>
      </w:pPr>
      <w:r>
        <w:t xml:space="preserve">Borgogna, Cinzia, Simone Lanfredini, Alberto Peretti, Marco De Andrea, Elisa Zavattaro, Enrico Colombo, Marco Quaglia,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96"/>
    <w:bookmarkStart w:id="98"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97">
        <w:r>
          <w:rPr>
            <w:rStyle w:val="Hyperlink"/>
          </w:rPr>
          <w:t xml:space="preserve">https://doi.org/10.3389/fmicb.2018.00117</w:t>
        </w:r>
      </w:hyperlink>
      <w:r>
        <w:t xml:space="preserve">.</w:t>
      </w:r>
    </w:p>
    <w:bookmarkEnd w:id="98"/>
    <w:bookmarkStart w:id="100"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9">
        <w:r>
          <w:rPr>
            <w:rStyle w:val="Hyperlink"/>
          </w:rPr>
          <w:t xml:space="preserve">https://doi.org/10.1158/1055-9965.EPI-09-0025</w:t>
        </w:r>
      </w:hyperlink>
      <w:r>
        <w:t xml:space="preserve">.</w:t>
      </w:r>
    </w:p>
    <w:bookmarkEnd w:id="100"/>
    <w:bookmarkStart w:id="102"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101">
        <w:r>
          <w:rPr>
            <w:rStyle w:val="Hyperlink"/>
          </w:rPr>
          <w:t xml:space="preserve">https://doi.org/10.1038/srep05807</w:t>
        </w:r>
      </w:hyperlink>
      <w:r>
        <w:t xml:space="preserve">.</w:t>
      </w:r>
    </w:p>
    <w:bookmarkEnd w:id="102"/>
    <w:bookmarkStart w:id="103"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103"/>
    <w:bookmarkStart w:id="105"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104">
        <w:r>
          <w:rPr>
            <w:rStyle w:val="Hyperlink"/>
          </w:rPr>
          <w:t xml:space="preserve">https://doi.org/10.1128/JVI.03365-14</w:t>
        </w:r>
      </w:hyperlink>
      <w:r>
        <w:t xml:space="preserve">.</w:t>
      </w:r>
    </w:p>
    <w:bookmarkEnd w:id="105"/>
    <w:bookmarkStart w:id="107"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106">
        <w:r>
          <w:rPr>
            <w:rStyle w:val="Hyperlink"/>
          </w:rPr>
          <w:t xml:space="preserve">https://doi.org/10.1016/j.coviro.2019.07.010</w:t>
        </w:r>
      </w:hyperlink>
      <w:r>
        <w:t xml:space="preserve">.</w:t>
      </w:r>
    </w:p>
    <w:bookmarkEnd w:id="107"/>
    <w:bookmarkStart w:id="109"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108">
        <w:r>
          <w:rPr>
            <w:rStyle w:val="Hyperlink"/>
          </w:rPr>
          <w:t xml:space="preserve">https://doi.org/10.1093/bioinformatics/bty560</w:t>
        </w:r>
      </w:hyperlink>
      <w:r>
        <w:t xml:space="preserve">.</w:t>
      </w:r>
    </w:p>
    <w:bookmarkEnd w:id="109"/>
    <w:bookmarkStart w:id="111"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10">
        <w:r>
          <w:rPr>
            <w:rStyle w:val="Hyperlink"/>
          </w:rPr>
          <w:t xml:space="preserve">https://doi.org/10.1128/JCM.01785-07</w:t>
        </w:r>
      </w:hyperlink>
      <w:r>
        <w:t xml:space="preserve">.</w:t>
      </w:r>
    </w:p>
    <w:bookmarkEnd w:id="111"/>
    <w:bookmarkStart w:id="113"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12">
        <w:r>
          <w:rPr>
            <w:rStyle w:val="Hyperlink"/>
          </w:rPr>
          <w:t xml:space="preserve">https://doi.org/10.1101/2024.07.30.605881</w:t>
        </w:r>
      </w:hyperlink>
      <w:r>
        <w:t xml:space="preserve">.</w:t>
      </w:r>
    </w:p>
    <w:bookmarkEnd w:id="113"/>
    <w:bookmarkStart w:id="115"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14">
        <w:r>
          <w:rPr>
            <w:rStyle w:val="Hyperlink"/>
          </w:rPr>
          <w:t xml:space="preserve">https://doi.org/10.3802/jgo.2018.29.e38</w:t>
        </w:r>
      </w:hyperlink>
      <w:r>
        <w:t xml:space="preserve">.</w:t>
      </w:r>
    </w:p>
    <w:bookmarkEnd w:id="115"/>
    <w:bookmarkStart w:id="117"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16">
        <w:r>
          <w:rPr>
            <w:rStyle w:val="Hyperlink"/>
          </w:rPr>
          <w:t xml:space="preserve">https://doi.org/10.1158/0008-5472.CAN-08-3099</w:t>
        </w:r>
      </w:hyperlink>
      <w:r>
        <w:t xml:space="preserve">.</w:t>
      </w:r>
    </w:p>
    <w:bookmarkEnd w:id="117"/>
    <w:bookmarkStart w:id="119"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18">
        <w:r>
          <w:rPr>
            <w:rStyle w:val="Hyperlink"/>
          </w:rPr>
          <w:t xml:space="preserve">https://doi.org/10.1093/gigascience/giab008</w:t>
        </w:r>
      </w:hyperlink>
      <w:r>
        <w:t xml:space="preserve">.</w:t>
      </w:r>
    </w:p>
    <w:bookmarkEnd w:id="119"/>
    <w:bookmarkStart w:id="121"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20">
        <w:r>
          <w:rPr>
            <w:rStyle w:val="Hyperlink"/>
          </w:rPr>
          <w:t xml:space="preserve">https://doi.org/10.1016/j.virol.2019.08.007</w:t>
        </w:r>
      </w:hyperlink>
      <w:r>
        <w:t xml:space="preserve">.</w:t>
      </w:r>
    </w:p>
    <w:bookmarkEnd w:id="121"/>
    <w:bookmarkStart w:id="123"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22">
        <w:r>
          <w:rPr>
            <w:rStyle w:val="Hyperlink"/>
          </w:rPr>
          <w:t xml:space="preserve">https://doi.org/10.1038/nbt.3820</w:t>
        </w:r>
      </w:hyperlink>
      <w:r>
        <w:t xml:space="preserve">.</w:t>
      </w:r>
    </w:p>
    <w:bookmarkEnd w:id="123"/>
    <w:bookmarkStart w:id="125"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24">
        <w:r>
          <w:rPr>
            <w:rStyle w:val="Hyperlink"/>
          </w:rPr>
          <w:t xml:space="preserve">https://doi.org/10.1093/bioinformatics/bts635</w:t>
        </w:r>
      </w:hyperlink>
      <w:r>
        <w:t xml:space="preserve">.</w:t>
      </w:r>
    </w:p>
    <w:bookmarkEnd w:id="125"/>
    <w:bookmarkStart w:id="126"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26"/>
    <w:bookmarkStart w:id="127"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27"/>
    <w:bookmarkStart w:id="128" w:name="ref-dorfer2021"/>
    <w:p>
      <w:pPr>
        <w:pStyle w:val="Bibliography"/>
      </w:pPr>
      <w:r>
        <w:t xml:space="preserve">Dorfer, Sonja, Katharina Strasser, Georg Schröckenfuchs, Michael Bonelli, Wolfgang Bauer, Harald Kittler, Christophe Cataisson, Michael B. Fischer, Beate M. Lichtenberger, and Alessandra Handisurya.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28"/>
    <w:bookmarkStart w:id="130" w:name="ref-edgar2022"/>
    <w:p>
      <w:pPr>
        <w:pStyle w:val="Bibliography"/>
      </w:pPr>
      <w:r>
        <w:t xml:space="preserve">Edgar, Robert C., Brie Taylor, Victor Lin, Tomer Altman, Pierre Barbera, Dmitry Meleshko, Dan Lohr,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9">
        <w:r>
          <w:rPr>
            <w:rStyle w:val="Hyperlink"/>
          </w:rPr>
          <w:t xml:space="preserve">https://doi.org/10.1038/s41586-021-04332-2</w:t>
        </w:r>
      </w:hyperlink>
      <w:r>
        <w:t xml:space="preserve">.</w:t>
      </w:r>
    </w:p>
    <w:bookmarkEnd w:id="130"/>
    <w:bookmarkStart w:id="131"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31"/>
    <w:bookmarkStart w:id="133"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32">
        <w:r>
          <w:rPr>
            <w:rStyle w:val="Hyperlink"/>
          </w:rPr>
          <w:t xml:space="preserve">https://doi.org/10.1016/j.xgen.2022.100211</w:t>
        </w:r>
      </w:hyperlink>
      <w:r>
        <w:t xml:space="preserve">.</w:t>
      </w:r>
    </w:p>
    <w:bookmarkEnd w:id="133"/>
    <w:bookmarkStart w:id="135" w:name="ref-fisher2015"/>
    <w:p>
      <w:pPr>
        <w:pStyle w:val="Bibliography"/>
      </w:pPr>
      <w:r>
        <w:t xml:space="preserve">Fisher, Chris. 2015.</w:t>
      </w:r>
      <w:r>
        <w:t xml:space="preserve"> </w:t>
      </w:r>
      <w:r>
        <w:t xml:space="preserve">“Recent Insights into the Control of Human Papillomavirus (</w:t>
      </w:r>
      <w:r>
        <w:t xml:space="preserve">HPV</w:t>
      </w:r>
      <w:r>
        <w:t xml:space="preserve">) Genome Stability, Loss, and Degradation.”</w:t>
      </w:r>
      <w:r>
        <w:t xml:space="preserve"> </w:t>
      </w:r>
      <w:r>
        <w:rPr>
          <w:i/>
          <w:iCs/>
        </w:rPr>
        <w:t xml:space="preserve">Journal of Clinical Medicine</w:t>
      </w:r>
      <w:r>
        <w:t xml:space="preserve"> </w:t>
      </w:r>
      <w:r>
        <w:t xml:space="preserve">4 (2): 204–30.</w:t>
      </w:r>
      <w:r>
        <w:t xml:space="preserve"> </w:t>
      </w:r>
      <w:hyperlink r:id="rId134">
        <w:r>
          <w:rPr>
            <w:rStyle w:val="Hyperlink"/>
          </w:rPr>
          <w:t xml:space="preserve">https://doi.org/10.3390/jcm4020204</w:t>
        </w:r>
      </w:hyperlink>
      <w:r>
        <w:t xml:space="preserve">.</w:t>
      </w:r>
    </w:p>
    <w:bookmarkEnd w:id="135"/>
    <w:bookmarkStart w:id="136" w:name="ref-foulongne2012"/>
    <w:p>
      <w:pPr>
        <w:pStyle w:val="Bibliography"/>
      </w:pPr>
      <w:r>
        <w:t xml:space="preserve">Foulongne, Vincent, Virginie Sauvage, Charles Hebert, Olivier Dereure, Justine Cheval, Meriadeg Ar Gouilh, Kevin Pariente,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36"/>
    <w:bookmarkStart w:id="138"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37">
        <w:r>
          <w:rPr>
            <w:rStyle w:val="Hyperlink"/>
          </w:rPr>
          <w:t xml:space="preserve">https://doi.org/10.1097/DAD.0000000000001289</w:t>
        </w:r>
      </w:hyperlink>
      <w:r>
        <w:t xml:space="preserve">.</w:t>
      </w:r>
    </w:p>
    <w:bookmarkEnd w:id="138"/>
    <w:bookmarkStart w:id="140"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39">
        <w:r>
          <w:rPr>
            <w:rStyle w:val="Hyperlink"/>
          </w:rPr>
          <w:t xml:space="preserve">https://doi.org/10.1128/mbio.01607-23</w:t>
        </w:r>
      </w:hyperlink>
      <w:r>
        <w:t xml:space="preserve">.</w:t>
      </w:r>
    </w:p>
    <w:bookmarkEnd w:id="140"/>
    <w:bookmarkStart w:id="142"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41">
        <w:r>
          <w:rPr>
            <w:rStyle w:val="Hyperlink"/>
          </w:rPr>
          <w:t xml:space="preserve">https://mc-stan.org/rstanarm/</w:t>
        </w:r>
      </w:hyperlink>
      <w:r>
        <w:t xml:space="preserve">.</w:t>
      </w:r>
    </w:p>
    <w:bookmarkEnd w:id="142"/>
    <w:bookmarkStart w:id="143"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43"/>
    <w:bookmarkStart w:id="144"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44"/>
    <w:bookmarkStart w:id="146"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45">
        <w:r>
          <w:rPr>
            <w:rStyle w:val="Hyperlink"/>
          </w:rPr>
          <w:t xml:space="preserve">https://doi.org/10.1371/journal.pone.0217942</w:t>
        </w:r>
      </w:hyperlink>
      <w:r>
        <w:t xml:space="preserve">.</w:t>
      </w:r>
    </w:p>
    <w:bookmarkEnd w:id="146"/>
    <w:bookmarkStart w:id="147"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47"/>
    <w:bookmarkStart w:id="148"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48"/>
    <w:bookmarkStart w:id="150" w:name="ref-dejong2018b"/>
    <w:p>
      <w:pPr>
        <w:pStyle w:val="Bibliography"/>
      </w:pPr>
      <w:r>
        <w:t xml:space="preserve">Jong, Sarah Jill de, Amandine Créquer, Irina Matos, David Hum, Vignesh Gunasekharan, Lazaro Lorenzo, Fabienne Jabot-Hanin, et al.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49">
        <w:r>
          <w:rPr>
            <w:rStyle w:val="Hyperlink"/>
          </w:rPr>
          <w:t xml:space="preserve">https://doi.org/10.1084/jem.20170308</w:t>
        </w:r>
      </w:hyperlink>
      <w:r>
        <w:t xml:space="preserve">.</w:t>
      </w:r>
    </w:p>
    <w:bookmarkEnd w:id="150"/>
    <w:bookmarkStart w:id="152" w:name="ref-kazemian2015"/>
    <w:p>
      <w:pPr>
        <w:pStyle w:val="Bibliography"/>
      </w:pPr>
      <w:r>
        <w:t xml:space="preserve">Kazemian, Majid, Min Ren, Jian-Xin Lin, Wei Liao, Rosanne Spolski, and Warren J. Leonard.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51">
        <w:r>
          <w:rPr>
            <w:rStyle w:val="Hyperlink"/>
          </w:rPr>
          <w:t xml:space="preserve">https://doi.org/10.1128/JVI.00822-15</w:t>
        </w:r>
      </w:hyperlink>
      <w:r>
        <w:t xml:space="preserve">.</w:t>
      </w:r>
    </w:p>
    <w:bookmarkEnd w:id="152"/>
    <w:bookmarkStart w:id="153"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53"/>
    <w:bookmarkStart w:id="155"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54">
        <w:r>
          <w:rPr>
            <w:rStyle w:val="Hyperlink"/>
          </w:rPr>
          <w:t xml:space="preserve">https://doi.org/10.1038/s41586-020-3023-0</w:t>
        </w:r>
      </w:hyperlink>
      <w:r>
        <w:t xml:space="preserve">.</w:t>
      </w:r>
    </w:p>
    <w:bookmarkEnd w:id="155"/>
    <w:bookmarkStart w:id="156" w:name="ref-lazarczyk2008"/>
    <w:p>
      <w:pPr>
        <w:pStyle w:val="Bibliography"/>
      </w:pPr>
      <w:r>
        <w:t xml:space="preserve">Lazarczyk, Maciej, Christian Pons, José-Andrès Mendoza, Patricia Cassonnet, Yves Jacob, and Michel Favre.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56"/>
    <w:bookmarkStart w:id="15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57">
        <w:r>
          <w:rPr>
            <w:rStyle w:val="Hyperlink"/>
          </w:rPr>
          <w:t xml:space="preserve">https://doi.org/10.1158/2159-8290.CD-22-0489</w:t>
        </w:r>
      </w:hyperlink>
      <w:r>
        <w:t xml:space="preserve">.</w:t>
      </w:r>
    </w:p>
    <w:bookmarkEnd w:id="158"/>
    <w:bookmarkStart w:id="16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59">
        <w:r>
          <w:rPr>
            <w:rStyle w:val="Hyperlink"/>
          </w:rPr>
          <w:t xml:space="preserve">https://doi.org/10.1093/nar/gkq1019</w:t>
        </w:r>
      </w:hyperlink>
      <w:r>
        <w:t xml:space="preserve">.</w:t>
      </w:r>
    </w:p>
    <w:bookmarkEnd w:id="160"/>
    <w:bookmarkStart w:id="162"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61">
        <w:r>
          <w:rPr>
            <w:rStyle w:val="Hyperlink"/>
          </w:rPr>
          <w:t xml:space="preserve">https://doi.org/10.1158/1078-0432.CCR-25-0645</w:t>
        </w:r>
      </w:hyperlink>
      <w:r>
        <w:t xml:space="preserve">.</w:t>
      </w:r>
    </w:p>
    <w:bookmarkEnd w:id="162"/>
    <w:bookmarkStart w:id="16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63">
        <w:r>
          <w:rPr>
            <w:rStyle w:val="Hyperlink"/>
          </w:rPr>
          <w:t xml:space="preserve">https://doi.org/10.1093/bioinformatics/btt656</w:t>
        </w:r>
      </w:hyperlink>
      <w:r>
        <w:t xml:space="preserve">.</w:t>
      </w:r>
    </w:p>
    <w:bookmarkEnd w:id="164"/>
    <w:bookmarkStart w:id="166"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65">
        <w:r>
          <w:rPr>
            <w:rStyle w:val="Hyperlink"/>
          </w:rPr>
          <w:t xml:space="preserve">https://doi.org/10.1128/JVI.00093-14</w:t>
        </w:r>
      </w:hyperlink>
      <w:r>
        <w:t xml:space="preserve">.</w:t>
      </w:r>
    </w:p>
    <w:bookmarkEnd w:id="166"/>
    <w:bookmarkStart w:id="167"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67"/>
    <w:bookmarkStart w:id="168"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68"/>
    <w:bookmarkStart w:id="170"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69">
        <w:r>
          <w:rPr>
            <w:rStyle w:val="Hyperlink"/>
          </w:rPr>
          <w:t xml:space="preserve">https://doi.org/10.1172/jci.insight.177898</w:t>
        </w:r>
      </w:hyperlink>
      <w:r>
        <w:t xml:space="preserve">.</w:t>
      </w:r>
    </w:p>
    <w:bookmarkEnd w:id="170"/>
    <w:bookmarkStart w:id="172" w:name="ref-niller2011"/>
    <w:p>
      <w:pPr>
        <w:pStyle w:val="Bibliography"/>
      </w:pPr>
      <w:r>
        <w:t xml:space="preserve">Niller, Hans Helmut, Hans Wolf, and Janos Minarovits. 2011.</w:t>
      </w:r>
      <w:r>
        <w:t xml:space="preserve"> </w:t>
      </w:r>
      <w:r>
        <w:t xml:space="preserve">“Viral Hit and Run-Oncogenesis: Genetic and Epigenetic Scenarios.”</w:t>
      </w:r>
      <w:r>
        <w:t xml:space="preserve"> </w:t>
      </w:r>
      <w:r>
        <w:rPr>
          <w:i/>
          <w:iCs/>
        </w:rPr>
        <w:t xml:space="preserve">Cancer Letters</w:t>
      </w:r>
      <w:r>
        <w:t xml:space="preserve"> </w:t>
      </w:r>
      <w:r>
        <w:t xml:space="preserve">305 (2): 200–217.</w:t>
      </w:r>
      <w:r>
        <w:t xml:space="preserve"> </w:t>
      </w:r>
      <w:hyperlink r:id="rId171">
        <w:r>
          <w:rPr>
            <w:rStyle w:val="Hyperlink"/>
          </w:rPr>
          <w:t xml:space="preserve">https://doi.org/10.1016/j.canlet.2010.08.007</w:t>
        </w:r>
      </w:hyperlink>
      <w:r>
        <w:t xml:space="preserve">.</w:t>
      </w:r>
    </w:p>
    <w:bookmarkEnd w:id="172"/>
    <w:bookmarkStart w:id="173"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73"/>
    <w:bookmarkStart w:id="175"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74">
        <w:r>
          <w:rPr>
            <w:rStyle w:val="Hyperlink"/>
          </w:rPr>
          <w:t xml:space="preserve">https://doi.org/10.1001/jamadermatol.2026.0308</w:t>
        </w:r>
      </w:hyperlink>
      <w:r>
        <w:t xml:space="preserve">.</w:t>
      </w:r>
    </w:p>
    <w:bookmarkEnd w:id="175"/>
    <w:bookmarkStart w:id="176"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76"/>
    <w:bookmarkStart w:id="178"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77">
        <w:r>
          <w:rPr>
            <w:rStyle w:val="Hyperlink"/>
          </w:rPr>
          <w:t xml:space="preserve">https://doi.org/10.1111/j.0022-202X.2005.23635.x</w:t>
        </w:r>
      </w:hyperlink>
      <w:r>
        <w:t xml:space="preserve">.</w:t>
      </w:r>
    </w:p>
    <w:bookmarkEnd w:id="178"/>
    <w:bookmarkStart w:id="18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79">
        <w:r>
          <w:rPr>
            <w:rStyle w:val="Hyperlink"/>
          </w:rPr>
          <w:t xml:space="preserve">https://doi.org/10.1038/ng1044</w:t>
        </w:r>
      </w:hyperlink>
      <w:r>
        <w:t xml:space="preserve">.</w:t>
      </w:r>
    </w:p>
    <w:bookmarkEnd w:id="180"/>
    <w:bookmarkStart w:id="18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81">
        <w:r>
          <w:rPr>
            <w:rStyle w:val="Hyperlink"/>
          </w:rPr>
          <w:t xml:space="preserve">https://doi.org/10.1073/pnas.2118930119</w:t>
        </w:r>
      </w:hyperlink>
      <w:r>
        <w:t xml:space="preserve">.</w:t>
      </w:r>
    </w:p>
    <w:bookmarkEnd w:id="182"/>
    <w:bookmarkStart w:id="18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83">
        <w:r>
          <w:rPr>
            <w:rStyle w:val="Hyperlink"/>
          </w:rPr>
          <w:t xml:space="preserve">https://doi.org/10.1158/0008-5472.CAN-21-0805</w:t>
        </w:r>
      </w:hyperlink>
      <w:r>
        <w:t xml:space="preserve">.</w:t>
      </w:r>
    </w:p>
    <w:bookmarkEnd w:id="184"/>
    <w:bookmarkStart w:id="18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85">
        <w:r>
          <w:rPr>
            <w:rStyle w:val="Hyperlink"/>
          </w:rPr>
          <w:t xml:space="preserve">https://doi.org/10.1093/infdis/jiy577</w:t>
        </w:r>
      </w:hyperlink>
      <w:r>
        <w:t xml:space="preserve">.</w:t>
      </w:r>
    </w:p>
    <w:bookmarkEnd w:id="186"/>
    <w:bookmarkStart w:id="18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87">
        <w:r>
          <w:rPr>
            <w:rStyle w:val="Hyperlink"/>
          </w:rPr>
          <w:t xml:space="preserve">https://doi.org/10.1128/JVI.01003-18</w:t>
        </w:r>
      </w:hyperlink>
      <w:r>
        <w:t xml:space="preserve">.</w:t>
      </w:r>
    </w:p>
    <w:bookmarkEnd w:id="188"/>
    <w:bookmarkStart w:id="190" w:name="ref-saeidian2023"/>
    <w:p>
      <w:pPr>
        <w:pStyle w:val="Bibliography"/>
      </w:pPr>
      <w:r>
        <w:t xml:space="preserve">Saeidian, Amir Hossein, Leila Youssefian, Mahtab Naji, Hamidreza Mahmoudi, Samantha M. Barnada, Charles Huang, Karim Naghipoor, et al.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89">
        <w:r>
          <w:rPr>
            <w:rStyle w:val="Hyperlink"/>
          </w:rPr>
          <w:t xml:space="preserve">https://doi.org/10.1172/jci.insight.162558</w:t>
        </w:r>
      </w:hyperlink>
      <w:r>
        <w:t xml:space="preserve">.</w:t>
      </w:r>
    </w:p>
    <w:bookmarkEnd w:id="190"/>
    <w:bookmarkStart w:id="19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91">
        <w:r>
          <w:rPr>
            <w:rStyle w:val="Hyperlink"/>
          </w:rPr>
          <w:t xml:space="preserve">https://doi.org/10.1186/s12864-020-6483-6</w:t>
        </w:r>
      </w:hyperlink>
      <w:r>
        <w:t xml:space="preserve">.</w:t>
      </w:r>
    </w:p>
    <w:bookmarkEnd w:id="192"/>
    <w:bookmarkStart w:id="19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93">
        <w:r>
          <w:rPr>
            <w:rStyle w:val="Hyperlink"/>
          </w:rPr>
          <w:t xml:space="preserve">https://doi.org/10.64898/2026.04.21.719858</w:t>
        </w:r>
      </w:hyperlink>
      <w:r>
        <w:t xml:space="preserve">.</w:t>
      </w:r>
    </w:p>
    <w:bookmarkEnd w:id="194"/>
    <w:bookmarkStart w:id="19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95">
        <w:r>
          <w:rPr>
            <w:rStyle w:val="Hyperlink"/>
          </w:rPr>
          <w:t xml:space="preserve">https://doi.org/10.1371/journal.pone.0163962</w:t>
        </w:r>
      </w:hyperlink>
      <w:r>
        <w:t xml:space="preserve">.</w:t>
      </w:r>
    </w:p>
    <w:bookmarkEnd w:id="196"/>
    <w:bookmarkStart w:id="19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97">
        <w:r>
          <w:rPr>
            <w:rStyle w:val="Hyperlink"/>
          </w:rPr>
          <w:t xml:space="preserve">https://doi.org/10.1016/j.ccell.2024.11.013</w:t>
        </w:r>
      </w:hyperlink>
      <w:r>
        <w:t xml:space="preserve">.</w:t>
      </w:r>
    </w:p>
    <w:bookmarkEnd w:id="198"/>
    <w:bookmarkStart w:id="200" w:name="ref-strickley2019"/>
    <w:p>
      <w:pPr>
        <w:pStyle w:val="Bibliography"/>
      </w:pPr>
      <w:r>
        <w:t xml:space="preserve">Strickley, John D., Jonathan L. Messerschmidt, Mary E. Awad, Tiancheng Li, Tatsuya Hasegawa, Dat Thinh Ha, Henry W. Nabeta,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99">
        <w:r>
          <w:rPr>
            <w:rStyle w:val="Hyperlink"/>
          </w:rPr>
          <w:t xml:space="preserve">https://doi.org/10.1038/s41586-019-1719-9</w:t>
        </w:r>
      </w:hyperlink>
      <w:r>
        <w:t xml:space="preserve">.</w:t>
      </w:r>
    </w:p>
    <w:bookmarkEnd w:id="200"/>
    <w:bookmarkStart w:id="20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201">
        <w:r>
          <w:rPr>
            <w:rStyle w:val="Hyperlink"/>
          </w:rPr>
          <w:t xml:space="preserve">https://doi.org/10.1038/s41586-020-3024-z</w:t>
        </w:r>
      </w:hyperlink>
      <w:r>
        <w:t xml:space="preserve">.</w:t>
      </w:r>
    </w:p>
    <w:bookmarkEnd w:id="202"/>
    <w:bookmarkStart w:id="203"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203"/>
    <w:bookmarkStart w:id="205" w:name="ref-vandoorslaer2017"/>
    <w:p>
      <w:pPr>
        <w:pStyle w:val="Bibliography"/>
      </w:pPr>
      <w:r>
        <w:t xml:space="preserve">Van Doorslaer, Koenraad, Zhiwen Li, Sandhya Xirasagar, Piet Maes, David Kaminsky, David Liou, Qiang Sun, Ramandeep Kaur, Yentram Huyen, and Alison A. McBride.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204">
        <w:r>
          <w:rPr>
            <w:rStyle w:val="Hyperlink"/>
          </w:rPr>
          <w:t xml:space="preserve">https://doi.org/10.1093/nar/gkw879</w:t>
        </w:r>
      </w:hyperlink>
      <w:r>
        <w:t xml:space="preserve">.</w:t>
      </w:r>
    </w:p>
    <w:bookmarkEnd w:id="205"/>
    <w:bookmarkStart w:id="207"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206">
        <w:r>
          <w:rPr>
            <w:rStyle w:val="Hyperlink"/>
          </w:rPr>
          <w:t xml:space="preserve">https://doi.org/10.1111/exd.14385</w:t>
        </w:r>
      </w:hyperlink>
      <w:r>
        <w:t xml:space="preserve">.</w:t>
      </w:r>
    </w:p>
    <w:bookmarkEnd w:id="207"/>
    <w:bookmarkStart w:id="209" w:name="ref-viarisio2018"/>
    <w:p>
      <w:pPr>
        <w:pStyle w:val="Bibliography"/>
      </w:pPr>
      <w:r>
        <w:t xml:space="preserve">Viarisio, Daniele, Karin Müller-Decker, Rosita Accardi, Alexis Robitaille, Matthias Dürst, Katrin Beer, Lars Jansen,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208">
        <w:r>
          <w:rPr>
            <w:rStyle w:val="Hyperlink"/>
          </w:rPr>
          <w:t xml:space="preserve">https://doi.org/10.1371/journal.ppat.1006783</w:t>
        </w:r>
      </w:hyperlink>
      <w:r>
        <w:t xml:space="preserve">.</w:t>
      </w:r>
    </w:p>
    <w:bookmarkEnd w:id="209"/>
    <w:bookmarkStart w:id="210"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210"/>
    <w:bookmarkStart w:id="211"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211"/>
    <w:bookmarkStart w:id="213" w:name="ref-weissenborn2005"/>
    <w:p>
      <w:pPr>
        <w:pStyle w:val="Bibliography"/>
      </w:pPr>
      <w:r>
        <w:t xml:space="preserve">Weissenborn, Sönke J., Ingo Nindl, Karin Purdie, Catherine Harwood, Charlotte Proby, Judith Breuer, Slawomir Majewski, Herbert Pfister, and Ulrike Wieland. 2005.</w:t>
      </w:r>
      <w:r>
        <w:t xml:space="preserve"> </w:t>
      </w:r>
      <w:r>
        <w:t xml:space="preserve">“Human Papillomavirus-</w:t>
      </w:r>
      <w:r>
        <w:t xml:space="preserve">DNA</w:t>
      </w:r>
      <w:r>
        <w:t xml:space="preserve"> </w:t>
      </w:r>
      <w:r>
        <w:t xml:space="preserve">Loads in Actinic Keratoses Exceed Those in Non-Melanoma Skin Cancers.”</w:t>
      </w:r>
      <w:r>
        <w:t xml:space="preserve"> </w:t>
      </w:r>
      <w:r>
        <w:rPr>
          <w:i/>
          <w:iCs/>
        </w:rPr>
        <w:t xml:space="preserve">Journal of Investigative Dermatology</w:t>
      </w:r>
      <w:r>
        <w:t xml:space="preserve"> </w:t>
      </w:r>
      <w:r>
        <w:t xml:space="preserve">125 (1): 93–97.</w:t>
      </w:r>
      <w:r>
        <w:t xml:space="preserve"> </w:t>
      </w:r>
      <w:hyperlink r:id="rId212">
        <w:r>
          <w:rPr>
            <w:rStyle w:val="Hyperlink"/>
          </w:rPr>
          <w:t xml:space="preserve">https://doi.org/10.1111/j.0022-202X.2005.23733.x</w:t>
        </w:r>
      </w:hyperlink>
      <w:r>
        <w:t xml:space="preserve">.</w:t>
      </w:r>
    </w:p>
    <w:bookmarkEnd w:id="213"/>
    <w:bookmarkStart w:id="215"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214">
        <w:r>
          <w:rPr>
            <w:rStyle w:val="Hyperlink"/>
          </w:rPr>
          <w:t xml:space="preserve">https://doi.org/10.1007/s00430-011-0212-3</w:t>
        </w:r>
      </w:hyperlink>
      <w:r>
        <w:t xml:space="preserve">.</w:t>
      </w:r>
    </w:p>
    <w:bookmarkEnd w:id="215"/>
    <w:bookmarkStart w:id="217"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16">
        <w:r>
          <w:rPr>
            <w:rStyle w:val="Hyperlink"/>
          </w:rPr>
          <w:t xml:space="preserve">https://doi.org/10.1001/jamadermatol.2025.0531</w:t>
        </w:r>
      </w:hyperlink>
      <w:r>
        <w:t xml:space="preserve">.</w:t>
      </w:r>
    </w:p>
    <w:bookmarkEnd w:id="217"/>
    <w:bookmarkStart w:id="219"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18">
        <w:r>
          <w:rPr>
            <w:rStyle w:val="Hyperlink"/>
          </w:rPr>
          <w:t xml:space="preserve">https://doi.org/10.1186/s13059-019-1891-0</w:t>
        </w:r>
      </w:hyperlink>
      <w:r>
        <w:t xml:space="preserve">.</w:t>
      </w:r>
    </w:p>
    <w:bookmarkEnd w:id="219"/>
    <w:bookmarkStart w:id="220" w:name="ref-yasumizu2021"/>
    <w:p>
      <w:pPr>
        <w:pStyle w:val="Bibliography"/>
      </w:pPr>
      <w:r>
        <w:t xml:space="preserve">Yasumizu, Yoshiaki, Atsushi Hara, Shimon Sakaguchi, and Naganari Ohkura.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20"/>
    <w:bookmarkStart w:id="222" w:name="ref-you2004"/>
    <w:p>
      <w:pPr>
        <w:pStyle w:val="Bibliography"/>
      </w:pPr>
      <w:r>
        <w:t xml:space="preserve">You, Jianxin, Jennifer L. Croyle, Akiko Nishimura, Keiko Ozato, and Peter M. Howley. 2004.</w:t>
      </w:r>
      <w:r>
        <w:t xml:space="preserve"> </w:t>
      </w:r>
      <w:r>
        <w:t xml:space="preserve">“Interaction of the Bovine Papillomavirus</w:t>
      </w:r>
      <w:r>
        <w:t xml:space="preserve"> </w:t>
      </w:r>
      <w:r>
        <w:t xml:space="preserve">E2</w:t>
      </w:r>
      <w:r>
        <w:t xml:space="preserve"> </w:t>
      </w:r>
      <w:r>
        <w:t xml:space="preserve">Protein with</w:t>
      </w:r>
      <w:r>
        <w:t xml:space="preserve"> </w:t>
      </w:r>
      <w:r>
        <w:t xml:space="preserve">Brd4</w:t>
      </w:r>
      <w:r>
        <w:t xml:space="preserve"> </w:t>
      </w:r>
      <w:r>
        <w:t xml:space="preserve">Tethers the Viral</w:t>
      </w:r>
      <w:r>
        <w:t xml:space="preserve"> </w:t>
      </w:r>
      <w:r>
        <w:t xml:space="preserve">DNA</w:t>
      </w:r>
      <w:r>
        <w:t xml:space="preserve"> </w:t>
      </w:r>
      <w:r>
        <w:t xml:space="preserve">to Host Mitotic Chromosomes.”</w:t>
      </w:r>
      <w:r>
        <w:t xml:space="preserve"> </w:t>
      </w:r>
      <w:r>
        <w:rPr>
          <w:i/>
          <w:iCs/>
        </w:rPr>
        <w:t xml:space="preserve">Cell</w:t>
      </w:r>
      <w:r>
        <w:t xml:space="preserve"> </w:t>
      </w:r>
      <w:r>
        <w:t xml:space="preserve">117 (3): 349–60.</w:t>
      </w:r>
      <w:r>
        <w:t xml:space="preserve"> </w:t>
      </w:r>
      <w:hyperlink r:id="rId221">
        <w:r>
          <w:rPr>
            <w:rStyle w:val="Hyperlink"/>
          </w:rPr>
          <w:t xml:space="preserve">https://doi.org/10.1016/S0092-8674(04)00402-7</w:t>
        </w:r>
      </w:hyperlink>
      <w:r>
        <w:t xml:space="preserve">.</w:t>
      </w:r>
    </w:p>
    <w:bookmarkEnd w:id="222"/>
    <w:bookmarkEnd w:id="223"/>
    <w:bookmarkEnd w:id="224"/>
    <w:bookmarkStart w:id="255" w:name="supplementary-material"/>
    <w:p>
      <w:pPr>
        <w:pStyle w:val="Heading1"/>
      </w:pPr>
      <w:r>
        <w:t xml:space="preserve">Supplementary Material</w:t>
      </w:r>
    </w:p>
    <w:bookmarkStart w:id="252"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228" w:name="suppfig-depth"/>
          <w:p>
            <w:pPr>
              <w:pStyle w:val="Compact"/>
              <w:jc w:val="center"/>
            </w:pPr>
            <w:r>
              <w:drawing>
                <wp:inline>
                  <wp:extent cx="5943600" cy="3714749"/>
                  <wp:effectExtent b="0" l="0" r="0" t="0"/>
                  <wp:docPr descr="" title="" id="226" name="Picture"/>
                  <a:graphic>
                    <a:graphicData uri="http://schemas.openxmlformats.org/drawingml/2006/picture">
                      <pic:pic>
                        <pic:nvPicPr>
                          <pic:cNvPr descr="figureS1.png" id="227" name="Picture"/>
                          <pic:cNvPicPr>
                            <a:picLocks noChangeArrowheads="1" noChangeAspect="1"/>
                          </pic:cNvPicPr>
                        </pic:nvPicPr>
                        <pic:blipFill>
                          <a:blip r:embed="rId225"/>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2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2" w:name="suppfig-trace"/>
          <w:p>
            <w:pPr>
              <w:pStyle w:val="Compact"/>
              <w:jc w:val="center"/>
            </w:pPr>
            <w:r>
              <w:drawing>
                <wp:inline>
                  <wp:extent cx="5943600" cy="3302000"/>
                  <wp:effectExtent b="0" l="0" r="0" t="0"/>
                  <wp:docPr descr="" title="" id="230" name="Picture"/>
                  <a:graphic>
                    <a:graphicData uri="http://schemas.openxmlformats.org/drawingml/2006/picture">
                      <pic:pic>
                        <pic:nvPicPr>
                          <pic:cNvPr descr="figureS2.png" id="231" name="Picture"/>
                          <pic:cNvPicPr>
                            <a:picLocks noChangeArrowheads="1" noChangeAspect="1"/>
                          </pic:cNvPicPr>
                        </pic:nvPicPr>
                        <pic:blipFill>
                          <a:blip r:embed="rId229"/>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2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6" w:name="suppfig-types"/>
          <w:p>
            <w:pPr>
              <w:pStyle w:val="Compact"/>
              <w:jc w:val="center"/>
            </w:pPr>
            <w:r>
              <w:drawing>
                <wp:inline>
                  <wp:extent cx="5943600" cy="2993813"/>
                  <wp:effectExtent b="0" l="0" r="0" t="0"/>
                  <wp:docPr descr="" title="" id="234" name="Picture"/>
                  <a:graphic>
                    <a:graphicData uri="http://schemas.openxmlformats.org/drawingml/2006/picture">
                      <pic:pic>
                        <pic:nvPicPr>
                          <pic:cNvPr descr="figureS3.png" id="235" name="Picture"/>
                          <pic:cNvPicPr>
                            <a:picLocks noChangeArrowheads="1" noChangeAspect="1"/>
                          </pic:cNvPicPr>
                        </pic:nvPicPr>
                        <pic:blipFill>
                          <a:blip r:embed="rId233"/>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0" w:name="suppfig-reservoir-gut"/>
          <w:p>
            <w:pPr>
              <w:pStyle w:val="Compact"/>
              <w:jc w:val="center"/>
            </w:pPr>
            <w:r>
              <w:drawing>
                <wp:inline>
                  <wp:extent cx="5943600" cy="4302034"/>
                  <wp:effectExtent b="0" l="0" r="0" t="0"/>
                  <wp:docPr descr="" title="" id="238" name="Picture"/>
                  <a:graphic>
                    <a:graphicData uri="http://schemas.openxmlformats.org/drawingml/2006/picture">
                      <pic:pic>
                        <pic:nvPicPr>
                          <pic:cNvPr descr="figureS4.png" id="239" name="Picture"/>
                          <pic:cNvPicPr>
                            <a:picLocks noChangeArrowheads="1" noChangeAspect="1"/>
                          </pic:cNvPicPr>
                        </pic:nvPicPr>
                        <pic:blipFill>
                          <a:blip r:embed="rId237"/>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2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4" w:name="suppfig-bayes"/>
          <w:p>
            <w:pPr>
              <w:pStyle w:val="Compact"/>
              <w:jc w:val="center"/>
            </w:pPr>
            <w:r>
              <w:drawing>
                <wp:inline>
                  <wp:extent cx="5943600" cy="2905759"/>
                  <wp:effectExtent b="0" l="0" r="0" t="0"/>
                  <wp:docPr descr="" title="" id="242" name="Picture"/>
                  <a:graphic>
                    <a:graphicData uri="http://schemas.openxmlformats.org/drawingml/2006/picture">
                      <pic:pic>
                        <pic:nvPicPr>
                          <pic:cNvPr descr="figureS5.png" id="243" name="Picture"/>
                          <pic:cNvPicPr>
                            <a:picLocks noChangeArrowheads="1" noChangeAspect="1"/>
                          </pic:cNvPicPr>
                        </pic:nvPicPr>
                        <pic:blipFill>
                          <a:blip r:embed="rId241"/>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2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5"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1"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51"/>
        </w:tc>
      </w:tr>
    </w:tbl>
    <w:bookmarkEnd w:id="252"/>
    <w:bookmarkStart w:id="254"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5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53"/>
        </w:tc>
      </w:tr>
    </w:tbl>
    <w:bookmarkEnd w:id="254"/>
    <w:bookmarkEnd w:id="25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hyperlink" Id="rId216" Target="https://doi.org/10.1001/jamadermatol.2025.0531" TargetMode="External" /><Relationship Type="http://schemas.openxmlformats.org/officeDocument/2006/relationships/hyperlink" Id="rId174" Target="https://doi.org/10.1001/jamadermatol.2026.0308" TargetMode="External" /><Relationship Type="http://schemas.openxmlformats.org/officeDocument/2006/relationships/hyperlink" Id="rId90" Target="https://doi.org/10.1002/ijc.33683" TargetMode="External" /><Relationship Type="http://schemas.openxmlformats.org/officeDocument/2006/relationships/hyperlink" Id="rId214" Target="https://doi.org/10.1007/s00430-011-0212-3" TargetMode="External" /><Relationship Type="http://schemas.openxmlformats.org/officeDocument/2006/relationships/hyperlink" Id="rId221" Target="https://doi.org/10.1016/S0092-8674(04)00402-7" TargetMode="External" /><Relationship Type="http://schemas.openxmlformats.org/officeDocument/2006/relationships/hyperlink" Id="rId171" Target="https://doi.org/10.1016/j.canlet.2010.08.007" TargetMode="External" /><Relationship Type="http://schemas.openxmlformats.org/officeDocument/2006/relationships/hyperlink" Id="rId197" Target="https://doi.org/10.1016/j.ccell.2024.11.013" TargetMode="External" /><Relationship Type="http://schemas.openxmlformats.org/officeDocument/2006/relationships/hyperlink" Id="rId92" Target="https://doi.org/10.1016/j.cmi.2019.04.028" TargetMode="External" /><Relationship Type="http://schemas.openxmlformats.org/officeDocument/2006/relationships/hyperlink" Id="rId106" Target="https://doi.org/10.1016/j.coviro.2019.07.010" TargetMode="External" /><Relationship Type="http://schemas.openxmlformats.org/officeDocument/2006/relationships/hyperlink" Id="rId120" Target="https://doi.org/10.1016/j.virol.2019.08.007" TargetMode="External" /><Relationship Type="http://schemas.openxmlformats.org/officeDocument/2006/relationships/hyperlink" Id="rId132" Target="https://doi.org/10.1016/j.xgen.2022.100211" TargetMode="External" /><Relationship Type="http://schemas.openxmlformats.org/officeDocument/2006/relationships/hyperlink" Id="rId88" Target="https://doi.org/10.1038/jid.2011.91" TargetMode="External" /><Relationship Type="http://schemas.openxmlformats.org/officeDocument/2006/relationships/hyperlink" Id="rId84" Target="https://doi.org/10.1038/nature12064" TargetMode="External" /><Relationship Type="http://schemas.openxmlformats.org/officeDocument/2006/relationships/hyperlink" Id="rId122" Target="https://doi.org/10.1038/nbt.3820" TargetMode="External" /><Relationship Type="http://schemas.openxmlformats.org/officeDocument/2006/relationships/hyperlink" Id="rId179" Target="https://doi.org/10.1038/ng1044" TargetMode="External" /><Relationship Type="http://schemas.openxmlformats.org/officeDocument/2006/relationships/hyperlink" Id="rId199" Target="https://doi.org/10.1038/s41586-019-1719-9" TargetMode="External" /><Relationship Type="http://schemas.openxmlformats.org/officeDocument/2006/relationships/hyperlink" Id="rId154" Target="https://doi.org/10.1038/s41586-020-3023-0" TargetMode="External" /><Relationship Type="http://schemas.openxmlformats.org/officeDocument/2006/relationships/hyperlink" Id="rId201" Target="https://doi.org/10.1038/s41586-020-3024-z" TargetMode="External" /><Relationship Type="http://schemas.openxmlformats.org/officeDocument/2006/relationships/hyperlink" Id="rId129" Target="https://doi.org/10.1038/s41586-021-04332-2" TargetMode="External" /><Relationship Type="http://schemas.openxmlformats.org/officeDocument/2006/relationships/hyperlink" Id="rId101" Target="https://doi.org/10.1038/srep05807" TargetMode="External" /><Relationship Type="http://schemas.openxmlformats.org/officeDocument/2006/relationships/hyperlink" Id="rId181" Target="https://doi.org/10.1073/pnas.2118930119" TargetMode="External" /><Relationship Type="http://schemas.openxmlformats.org/officeDocument/2006/relationships/hyperlink" Id="rId149" Target="https://doi.org/10.1084/jem.20170308" TargetMode="External" /><Relationship Type="http://schemas.openxmlformats.org/officeDocument/2006/relationships/hyperlink" Id="rId124" Target="https://doi.org/10.1093/bioinformatics/bts635" TargetMode="External" /><Relationship Type="http://schemas.openxmlformats.org/officeDocument/2006/relationships/hyperlink" Id="rId163" Target="https://doi.org/10.1093/bioinformatics/btt656" TargetMode="External" /><Relationship Type="http://schemas.openxmlformats.org/officeDocument/2006/relationships/hyperlink" Id="rId108" Target="https://doi.org/10.1093/bioinformatics/bty560" TargetMode="External" /><Relationship Type="http://schemas.openxmlformats.org/officeDocument/2006/relationships/hyperlink" Id="rId118" Target="https://doi.org/10.1093/gigascience/giab008" TargetMode="External" /><Relationship Type="http://schemas.openxmlformats.org/officeDocument/2006/relationships/hyperlink" Id="rId185" Target="https://doi.org/10.1093/infdis/jiy577" TargetMode="External" /><Relationship Type="http://schemas.openxmlformats.org/officeDocument/2006/relationships/hyperlink" Id="rId159" Target="https://doi.org/10.1093/nar/gkq1019" TargetMode="External" /><Relationship Type="http://schemas.openxmlformats.org/officeDocument/2006/relationships/hyperlink" Id="rId204" Target="https://doi.org/10.1093/nar/gkw879" TargetMode="External" /><Relationship Type="http://schemas.openxmlformats.org/officeDocument/2006/relationships/hyperlink" Id="rId137" Target="https://doi.org/10.1097/DAD.0000000000001289" TargetMode="External" /><Relationship Type="http://schemas.openxmlformats.org/officeDocument/2006/relationships/hyperlink" Id="rId112" Target="https://doi.org/10.1101/2024.07.30.605881" TargetMode="External" /><Relationship Type="http://schemas.openxmlformats.org/officeDocument/2006/relationships/hyperlink" Id="rId206" Target="https://doi.org/10.1111/exd.14385" TargetMode="External" /><Relationship Type="http://schemas.openxmlformats.org/officeDocument/2006/relationships/hyperlink" Id="rId177" Target="https://doi.org/10.1111/j.0022-202X.2005.23635.x" TargetMode="External" /><Relationship Type="http://schemas.openxmlformats.org/officeDocument/2006/relationships/hyperlink" Id="rId212" Target="https://doi.org/10.1111/j.0022-202X.2005.23733.x" TargetMode="External" /><Relationship Type="http://schemas.openxmlformats.org/officeDocument/2006/relationships/hyperlink" Id="rId110" Target="https://doi.org/10.1128/JCM.01785-07" TargetMode="External" /><Relationship Type="http://schemas.openxmlformats.org/officeDocument/2006/relationships/hyperlink" Id="rId165" Target="https://doi.org/10.1128/JVI.00093-14" TargetMode="External" /><Relationship Type="http://schemas.openxmlformats.org/officeDocument/2006/relationships/hyperlink" Id="rId151" Target="https://doi.org/10.1128/JVI.00822-15" TargetMode="External" /><Relationship Type="http://schemas.openxmlformats.org/officeDocument/2006/relationships/hyperlink" Id="rId187" Target="https://doi.org/10.1128/JVI.01003-18" TargetMode="External" /><Relationship Type="http://schemas.openxmlformats.org/officeDocument/2006/relationships/hyperlink" Id="rId104" Target="https://doi.org/10.1128/JVI.03365-14" TargetMode="External" /><Relationship Type="http://schemas.openxmlformats.org/officeDocument/2006/relationships/hyperlink" Id="rId86" Target="https://doi.org/10.1128/JVI.74.24.11636-11641.2000" TargetMode="External" /><Relationship Type="http://schemas.openxmlformats.org/officeDocument/2006/relationships/hyperlink" Id="rId139" Target="https://doi.org/10.1128/mbio.01607-23" TargetMode="External" /><Relationship Type="http://schemas.openxmlformats.org/officeDocument/2006/relationships/hyperlink" Id="rId94" Target="https://doi.org/10.1152/physiolgenomics.00093.2024" TargetMode="External" /><Relationship Type="http://schemas.openxmlformats.org/officeDocument/2006/relationships/hyperlink" Id="rId116" Target="https://doi.org/10.1158/0008-5472.CAN-08-3099" TargetMode="External" /><Relationship Type="http://schemas.openxmlformats.org/officeDocument/2006/relationships/hyperlink" Id="rId183" Target="https://doi.org/10.1158/0008-5472.CAN-21-0805" TargetMode="External" /><Relationship Type="http://schemas.openxmlformats.org/officeDocument/2006/relationships/hyperlink" Id="rId99" Target="https://doi.org/10.1158/1055-9965.EPI-09-0025" TargetMode="External" /><Relationship Type="http://schemas.openxmlformats.org/officeDocument/2006/relationships/hyperlink" Id="rId161" Target="https://doi.org/10.1158/1078-0432.CCR-25-0645" TargetMode="External" /><Relationship Type="http://schemas.openxmlformats.org/officeDocument/2006/relationships/hyperlink" Id="rId157" Target="https://doi.org/10.1158/2159-8290.CD-22-0489" TargetMode="External" /><Relationship Type="http://schemas.openxmlformats.org/officeDocument/2006/relationships/hyperlink" Id="rId189" Target="https://doi.org/10.1172/jci.insight.162558" TargetMode="External" /><Relationship Type="http://schemas.openxmlformats.org/officeDocument/2006/relationships/hyperlink" Id="rId169" Target="https://doi.org/10.1172/jci.insight.177898" TargetMode="External" /><Relationship Type="http://schemas.openxmlformats.org/officeDocument/2006/relationships/hyperlink" Id="rId191" Target="https://doi.org/10.1186/s12864-020-6483-6" TargetMode="External" /><Relationship Type="http://schemas.openxmlformats.org/officeDocument/2006/relationships/hyperlink" Id="rId218" Target="https://doi.org/10.1186/s13059-019-1891-0" TargetMode="External" /><Relationship Type="http://schemas.openxmlformats.org/officeDocument/2006/relationships/hyperlink" Id="rId195" Target="https://doi.org/10.1371/journal.pone.0163962" TargetMode="External" /><Relationship Type="http://schemas.openxmlformats.org/officeDocument/2006/relationships/hyperlink" Id="rId145" Target="https://doi.org/10.1371/journal.pone.0217942" TargetMode="External" /><Relationship Type="http://schemas.openxmlformats.org/officeDocument/2006/relationships/hyperlink" Id="rId208" Target="https://doi.org/10.1371/journal.ppat.1006783" TargetMode="External" /><Relationship Type="http://schemas.openxmlformats.org/officeDocument/2006/relationships/hyperlink" Id="rId97" Target="https://doi.org/10.3389/fmicb.2018.00117" TargetMode="External" /><Relationship Type="http://schemas.openxmlformats.org/officeDocument/2006/relationships/hyperlink" Id="rId134" Target="https://doi.org/10.3390/jcm4020204" TargetMode="External" /><Relationship Type="http://schemas.openxmlformats.org/officeDocument/2006/relationships/hyperlink" Id="rId114" Target="https://doi.org/10.3802/jgo.2018.29.e38" TargetMode="External" /><Relationship Type="http://schemas.openxmlformats.org/officeDocument/2006/relationships/hyperlink" Id="rId193" Target="https://doi.org/10.64898/2026.04.21.719858" TargetMode="External" /><Relationship Type="http://schemas.openxmlformats.org/officeDocument/2006/relationships/hyperlink" Id="rId78" Target="https://github.com/tpall/hpv-human-skin" TargetMode="External" /><Relationship Type="http://schemas.openxmlformats.org/officeDocument/2006/relationships/hyperlink" Id="rId141" Target="https://mc-stan.org/rstanarm/" TargetMode="External" /><Relationship Type="http://schemas.openxmlformats.org/officeDocument/2006/relationships/hyperlink" Id="rId75" Target="https://orcid.org/0000-0001-7606-675X" TargetMode="External" /><Relationship Type="http://schemas.openxmlformats.org/officeDocument/2006/relationships/hyperlink" Id="rId7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16" Target="https://doi.org/10.1001/jamadermatol.2025.0531" TargetMode="External" /><Relationship Type="http://schemas.openxmlformats.org/officeDocument/2006/relationships/hyperlink" Id="rId174" Target="https://doi.org/10.1001/jamadermatol.2026.0308" TargetMode="External" /><Relationship Type="http://schemas.openxmlformats.org/officeDocument/2006/relationships/hyperlink" Id="rId90" Target="https://doi.org/10.1002/ijc.33683" TargetMode="External" /><Relationship Type="http://schemas.openxmlformats.org/officeDocument/2006/relationships/hyperlink" Id="rId214" Target="https://doi.org/10.1007/s00430-011-0212-3" TargetMode="External" /><Relationship Type="http://schemas.openxmlformats.org/officeDocument/2006/relationships/hyperlink" Id="rId221" Target="https://doi.org/10.1016/S0092-8674(04)00402-7" TargetMode="External" /><Relationship Type="http://schemas.openxmlformats.org/officeDocument/2006/relationships/hyperlink" Id="rId171" Target="https://doi.org/10.1016/j.canlet.2010.08.007" TargetMode="External" /><Relationship Type="http://schemas.openxmlformats.org/officeDocument/2006/relationships/hyperlink" Id="rId197" Target="https://doi.org/10.1016/j.ccell.2024.11.013" TargetMode="External" /><Relationship Type="http://schemas.openxmlformats.org/officeDocument/2006/relationships/hyperlink" Id="rId92" Target="https://doi.org/10.1016/j.cmi.2019.04.028" TargetMode="External" /><Relationship Type="http://schemas.openxmlformats.org/officeDocument/2006/relationships/hyperlink" Id="rId106" Target="https://doi.org/10.1016/j.coviro.2019.07.010" TargetMode="External" /><Relationship Type="http://schemas.openxmlformats.org/officeDocument/2006/relationships/hyperlink" Id="rId120" Target="https://doi.org/10.1016/j.virol.2019.08.007" TargetMode="External" /><Relationship Type="http://schemas.openxmlformats.org/officeDocument/2006/relationships/hyperlink" Id="rId132" Target="https://doi.org/10.1016/j.xgen.2022.100211" TargetMode="External" /><Relationship Type="http://schemas.openxmlformats.org/officeDocument/2006/relationships/hyperlink" Id="rId88" Target="https://doi.org/10.1038/jid.2011.91" TargetMode="External" /><Relationship Type="http://schemas.openxmlformats.org/officeDocument/2006/relationships/hyperlink" Id="rId84" Target="https://doi.org/10.1038/nature12064" TargetMode="External" /><Relationship Type="http://schemas.openxmlformats.org/officeDocument/2006/relationships/hyperlink" Id="rId122" Target="https://doi.org/10.1038/nbt.3820" TargetMode="External" /><Relationship Type="http://schemas.openxmlformats.org/officeDocument/2006/relationships/hyperlink" Id="rId179" Target="https://doi.org/10.1038/ng1044" TargetMode="External" /><Relationship Type="http://schemas.openxmlformats.org/officeDocument/2006/relationships/hyperlink" Id="rId199" Target="https://doi.org/10.1038/s41586-019-1719-9" TargetMode="External" /><Relationship Type="http://schemas.openxmlformats.org/officeDocument/2006/relationships/hyperlink" Id="rId154" Target="https://doi.org/10.1038/s41586-020-3023-0" TargetMode="External" /><Relationship Type="http://schemas.openxmlformats.org/officeDocument/2006/relationships/hyperlink" Id="rId201" Target="https://doi.org/10.1038/s41586-020-3024-z" TargetMode="External" /><Relationship Type="http://schemas.openxmlformats.org/officeDocument/2006/relationships/hyperlink" Id="rId129" Target="https://doi.org/10.1038/s41586-021-04332-2" TargetMode="External" /><Relationship Type="http://schemas.openxmlformats.org/officeDocument/2006/relationships/hyperlink" Id="rId101" Target="https://doi.org/10.1038/srep05807" TargetMode="External" /><Relationship Type="http://schemas.openxmlformats.org/officeDocument/2006/relationships/hyperlink" Id="rId181" Target="https://doi.org/10.1073/pnas.2118930119" TargetMode="External" /><Relationship Type="http://schemas.openxmlformats.org/officeDocument/2006/relationships/hyperlink" Id="rId149" Target="https://doi.org/10.1084/jem.20170308" TargetMode="External" /><Relationship Type="http://schemas.openxmlformats.org/officeDocument/2006/relationships/hyperlink" Id="rId124" Target="https://doi.org/10.1093/bioinformatics/bts635" TargetMode="External" /><Relationship Type="http://schemas.openxmlformats.org/officeDocument/2006/relationships/hyperlink" Id="rId163" Target="https://doi.org/10.1093/bioinformatics/btt656" TargetMode="External" /><Relationship Type="http://schemas.openxmlformats.org/officeDocument/2006/relationships/hyperlink" Id="rId108" Target="https://doi.org/10.1093/bioinformatics/bty560" TargetMode="External" /><Relationship Type="http://schemas.openxmlformats.org/officeDocument/2006/relationships/hyperlink" Id="rId118" Target="https://doi.org/10.1093/gigascience/giab008" TargetMode="External" /><Relationship Type="http://schemas.openxmlformats.org/officeDocument/2006/relationships/hyperlink" Id="rId185" Target="https://doi.org/10.1093/infdis/jiy577" TargetMode="External" /><Relationship Type="http://schemas.openxmlformats.org/officeDocument/2006/relationships/hyperlink" Id="rId159" Target="https://doi.org/10.1093/nar/gkq1019" TargetMode="External" /><Relationship Type="http://schemas.openxmlformats.org/officeDocument/2006/relationships/hyperlink" Id="rId204" Target="https://doi.org/10.1093/nar/gkw879" TargetMode="External" /><Relationship Type="http://schemas.openxmlformats.org/officeDocument/2006/relationships/hyperlink" Id="rId137" Target="https://doi.org/10.1097/DAD.0000000000001289" TargetMode="External" /><Relationship Type="http://schemas.openxmlformats.org/officeDocument/2006/relationships/hyperlink" Id="rId112" Target="https://doi.org/10.1101/2024.07.30.605881" TargetMode="External" /><Relationship Type="http://schemas.openxmlformats.org/officeDocument/2006/relationships/hyperlink" Id="rId206" Target="https://doi.org/10.1111/exd.14385" TargetMode="External" /><Relationship Type="http://schemas.openxmlformats.org/officeDocument/2006/relationships/hyperlink" Id="rId177" Target="https://doi.org/10.1111/j.0022-202X.2005.23635.x" TargetMode="External" /><Relationship Type="http://schemas.openxmlformats.org/officeDocument/2006/relationships/hyperlink" Id="rId212" Target="https://doi.org/10.1111/j.0022-202X.2005.23733.x" TargetMode="External" /><Relationship Type="http://schemas.openxmlformats.org/officeDocument/2006/relationships/hyperlink" Id="rId110" Target="https://doi.org/10.1128/JCM.01785-07" TargetMode="External" /><Relationship Type="http://schemas.openxmlformats.org/officeDocument/2006/relationships/hyperlink" Id="rId165" Target="https://doi.org/10.1128/JVI.00093-14" TargetMode="External" /><Relationship Type="http://schemas.openxmlformats.org/officeDocument/2006/relationships/hyperlink" Id="rId151" Target="https://doi.org/10.1128/JVI.00822-15" TargetMode="External" /><Relationship Type="http://schemas.openxmlformats.org/officeDocument/2006/relationships/hyperlink" Id="rId187" Target="https://doi.org/10.1128/JVI.01003-18" TargetMode="External" /><Relationship Type="http://schemas.openxmlformats.org/officeDocument/2006/relationships/hyperlink" Id="rId104" Target="https://doi.org/10.1128/JVI.03365-14" TargetMode="External" /><Relationship Type="http://schemas.openxmlformats.org/officeDocument/2006/relationships/hyperlink" Id="rId86" Target="https://doi.org/10.1128/JVI.74.24.11636-11641.2000" TargetMode="External" /><Relationship Type="http://schemas.openxmlformats.org/officeDocument/2006/relationships/hyperlink" Id="rId139" Target="https://doi.org/10.1128/mbio.01607-23" TargetMode="External" /><Relationship Type="http://schemas.openxmlformats.org/officeDocument/2006/relationships/hyperlink" Id="rId94" Target="https://doi.org/10.1152/physiolgenomics.00093.2024" TargetMode="External" /><Relationship Type="http://schemas.openxmlformats.org/officeDocument/2006/relationships/hyperlink" Id="rId116" Target="https://doi.org/10.1158/0008-5472.CAN-08-3099" TargetMode="External" /><Relationship Type="http://schemas.openxmlformats.org/officeDocument/2006/relationships/hyperlink" Id="rId183" Target="https://doi.org/10.1158/0008-5472.CAN-21-0805" TargetMode="External" /><Relationship Type="http://schemas.openxmlformats.org/officeDocument/2006/relationships/hyperlink" Id="rId99" Target="https://doi.org/10.1158/1055-9965.EPI-09-0025" TargetMode="External" /><Relationship Type="http://schemas.openxmlformats.org/officeDocument/2006/relationships/hyperlink" Id="rId161" Target="https://doi.org/10.1158/1078-0432.CCR-25-0645" TargetMode="External" /><Relationship Type="http://schemas.openxmlformats.org/officeDocument/2006/relationships/hyperlink" Id="rId157" Target="https://doi.org/10.1158/2159-8290.CD-22-0489" TargetMode="External" /><Relationship Type="http://schemas.openxmlformats.org/officeDocument/2006/relationships/hyperlink" Id="rId189" Target="https://doi.org/10.1172/jci.insight.162558" TargetMode="External" /><Relationship Type="http://schemas.openxmlformats.org/officeDocument/2006/relationships/hyperlink" Id="rId169" Target="https://doi.org/10.1172/jci.insight.177898" TargetMode="External" /><Relationship Type="http://schemas.openxmlformats.org/officeDocument/2006/relationships/hyperlink" Id="rId191" Target="https://doi.org/10.1186/s12864-020-6483-6" TargetMode="External" /><Relationship Type="http://schemas.openxmlformats.org/officeDocument/2006/relationships/hyperlink" Id="rId218" Target="https://doi.org/10.1186/s13059-019-1891-0" TargetMode="External" /><Relationship Type="http://schemas.openxmlformats.org/officeDocument/2006/relationships/hyperlink" Id="rId195" Target="https://doi.org/10.1371/journal.pone.0163962" TargetMode="External" /><Relationship Type="http://schemas.openxmlformats.org/officeDocument/2006/relationships/hyperlink" Id="rId145" Target="https://doi.org/10.1371/journal.pone.0217942" TargetMode="External" /><Relationship Type="http://schemas.openxmlformats.org/officeDocument/2006/relationships/hyperlink" Id="rId208" Target="https://doi.org/10.1371/journal.ppat.1006783" TargetMode="External" /><Relationship Type="http://schemas.openxmlformats.org/officeDocument/2006/relationships/hyperlink" Id="rId97" Target="https://doi.org/10.3389/fmicb.2018.00117" TargetMode="External" /><Relationship Type="http://schemas.openxmlformats.org/officeDocument/2006/relationships/hyperlink" Id="rId134" Target="https://doi.org/10.3390/jcm4020204" TargetMode="External" /><Relationship Type="http://schemas.openxmlformats.org/officeDocument/2006/relationships/hyperlink" Id="rId114" Target="https://doi.org/10.3802/jgo.2018.29.e38" TargetMode="External" /><Relationship Type="http://schemas.openxmlformats.org/officeDocument/2006/relationships/hyperlink" Id="rId193" Target="https://doi.org/10.64898/2026.04.21.719858" TargetMode="External" /><Relationship Type="http://schemas.openxmlformats.org/officeDocument/2006/relationships/hyperlink" Id="rId78" Target="https://github.com/tpall/hpv-human-skin" TargetMode="External" /><Relationship Type="http://schemas.openxmlformats.org/officeDocument/2006/relationships/hyperlink" Id="rId141" Target="https://mc-stan.org/rstanarm/" TargetMode="External" /><Relationship Type="http://schemas.openxmlformats.org/officeDocument/2006/relationships/hyperlink" Id="rId75" Target="https://orcid.org/0000-0001-7606-675X" TargetMode="External" /><Relationship Type="http://schemas.openxmlformats.org/officeDocument/2006/relationships/hyperlink" Id="rId7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2026-08-28T10:17:16Z</dcterms:created>
  <dcterms:modified xsi:type="dcterms:W3CDTF">2026-08-28T10:17:16Z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2026-08-28</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bl-cap-location">
    <vt:lpwstr>top</vt:lpwstr>
  </property>
  <property fmtid="{D5CDD505-2E9C-101B-9397-08002B2CF9AE}" pid="16" name="toc-title">
    <vt:lpwstr>Table of contents</vt:lpwstr>
  </property>
</Properties>
</file>