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42.png" ContentType="image/png"/>
  <Override PartName="/word/media/rId175.png" ContentType="image/png"/>
  <Override PartName="/word/media/rId179.png" ContentType="image/png"/>
  <Override PartName="/word/media/rId183.png" ContentType="image/png"/>
  <Override PartName="/word/media/rId187.png" ContentType="image/png"/>
  <Override PartName="/word/media/rId1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Taavi Päll</w:t>
      </w:r>
    </w:p>
    <w:p>
      <w:pPr>
        <w:pStyle w:val="Author"/>
      </w:pPr>
      <w:r>
        <w:t xml:space="preserve">Alla Piirsoo</w:t>
      </w:r>
    </w:p>
    <w:p>
      <w:pPr>
        <w:pStyle w:val="Author"/>
      </w:pPr>
      <w:r>
        <w:t xml:space="preserve">Marko Piirsoo</w:t>
      </w:r>
    </w:p>
    <w:p>
      <w:pPr>
        <w:pStyle w:val="Date"/>
      </w:pPr>
      <w:r>
        <w:t xml:space="preserve">2026-08-28</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carcinoma and keratosis specimens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contamination</w:t>
      </w:r>
    </w:p>
    <w:bookmarkEnd w:id="20"/>
    <w:bookmarkStart w:id="21" w:name="introduction"/>
    <w:p>
      <w:pPr>
        <w:pStyle w:val="Heading2"/>
      </w:pPr>
      <w:r>
        <w:t xml:space="preserve">Introduction</w:t>
      </w:r>
    </w:p>
    <w:p>
      <w:pPr>
        <w:pStyle w:val="FirstParagraph"/>
      </w:pPr>
      <w:r>
        <w:t xml:space="preserve">Cutaneous beta- and gamma-HPVs act more like normal skin flora than disease-causing pathogens. They are acquired early in life, are ubiquitous in healthy adults, and persist as quiet, low-level infections</w:t>
      </w:r>
      <w:r>
        <w:t xml:space="preserve"> </w:t>
      </w:r>
      <w:r>
        <w:t xml:space="preserve">(Antonsson et al. 2000; Doorbar 2023)</w:t>
      </w:r>
      <w:r>
        <w:t xml:space="preserve">. At the DNA level, this viral reservoir is large and well-mapped. Shotgun metagenomics detected HPV in 61.3% of healthy skin samples</w:t>
      </w:r>
      <w:r>
        <w:t xml:space="preserve"> </w:t>
      </w:r>
      <w:r>
        <w:t xml:space="preserve">(Ma et al. 2014)</w:t>
      </w:r>
      <w:r>
        <w:t xml:space="preserve">, while skin swabs found beta-HPV in 92% of adults</w:t>
      </w:r>
      <w:r>
        <w:t xml:space="preserve"> </w:t>
      </w:r>
      <w:r>
        <w:t xml:space="preserve">(Rollison et al. 2019a)</w:t>
      </w:r>
      <w:r>
        <w:t xml:space="preserve">. This viral community is incredibly diverse, spanning 396 distinct types, 229 of which were previously unknown</w:t>
      </w:r>
      <w:r>
        <w:t xml:space="preserve"> </w:t>
      </w:r>
      <w:r>
        <w:t xml:space="preserve">(Bzhalava et al. 2014)</w:t>
      </w:r>
      <w:r>
        <w:t xml:space="preserve">. However, these DNA figures alone cannot tell us whether any of this genetic material is actively transcribed.</w:t>
      </w:r>
    </w:p>
    <w:p>
      <w:pPr>
        <w:pStyle w:val="BodyText"/>
      </w:pPr>
      <w:r>
        <w:t xml:space="preserve">This question matters because beta-HPV is a suspected cofactor in cutaneous squamous cell carcinoma (cSCC), particularly in organ-transplant recipients</w:t>
      </w:r>
      <w:r>
        <w:t xml:space="preserve"> </w:t>
      </w:r>
      <w:r>
        <w:t xml:space="preserve">(Howley and Pfister 2015; Rollison et al. 2019b)</w:t>
      </w:r>
      <w:r>
        <w:t xml:space="preserve">. Three distinct, mutually compatible theories explain this role using the same data. Under the</w:t>
      </w:r>
      <w:r>
        <w:t xml:space="preserve"> </w:t>
      </w:r>
      <w:r>
        <w:t xml:space="preserve">“hit-and-run”</w:t>
      </w:r>
      <w:r>
        <w:t xml:space="preserve"> </w:t>
      </w:r>
      <w:r>
        <w:t xml:space="preserve">model, beta-HPV works with ultraviolet radiation during early cancer development but becomes dispensable once the tumor forms</w:t>
      </w:r>
      <w:r>
        <w:t xml:space="preserve"> </w:t>
      </w:r>
      <w:r>
        <w:t xml:space="preserve">(Dorfer et al. 2021; Viarisio et al. 2018)</w:t>
      </w:r>
      <w:r>
        <w:t xml:space="preserve">. Alternatively, the protective-immunity theory suggests T-cell immunity to regular papillomaviruses actively suppresses skin cancer, meaning viral loss reflects immune selection</w:t>
      </w:r>
      <w:r>
        <w:t xml:space="preserve"> </w:t>
      </w:r>
      <w:r>
        <w:t xml:space="preserve">(Lambert et al. 2021; Strickley et al. 2021; Strickley et al. 2019)</w:t>
      </w:r>
      <w:r>
        <w:t xml:space="preserve">. This idea now includes evidence that viral colonization blocks mutant p53 clone expansion, with beta-HPV disappearing as those clones grow</w:t>
      </w:r>
      <w:r>
        <w:t xml:space="preserve"> </w:t>
      </w:r>
      <w:r>
        <w:t xml:space="preserve">(Son et al. 2025)</w:t>
      </w:r>
      <w:r>
        <w:t xml:space="preserve">. A third theory requires neither premise, proposing that silence is simply the viral default because the beta-HPV genome uses E8^E2 to repress its own expression, and cell transformation requires inactivating this repressor</w:t>
      </w:r>
      <w:r>
        <w:t xml:space="preserve"> </w:t>
      </w:r>
      <w:r>
        <w:t xml:space="preserve">(Rehm et al. 2022)</w:t>
      </w:r>
      <w:r>
        <w:t xml:space="preserve">. Under hit-and-run the decline is not predicted by dispensability itself, which is a claim about requirement rather than persistence, but follows from it: papillomavirus episomes are maintained only by active tethering to mitotic chromosomes, so a genome nothing selects for is diluted out of the expanding clone</w:t>
      </w:r>
      <w:r>
        <w:t xml:space="preserve"> </w:t>
      </w:r>
      <w:r>
        <w:t xml:space="preserve">(You et al. 2004)</w:t>
      </w:r>
      <w:r>
        <w:t xml:space="preserve">. Ultimately, all three models predict declining viral activity from healthy skin to carcinoma, which is why measuring that decline more precisely cannot separate them.</w:t>
      </w:r>
    </w:p>
    <w:p>
      <w:pPr>
        <w:pStyle w:val="BodyText"/>
      </w:pPr>
      <w:r>
        <w:t xml:space="preserve">Whether HPV is transcribed in cutaneous carcinoma has been studied directly, and the answers generally converge on</w:t>
      </w:r>
      <w:r>
        <w:t xml:space="preserve"> </w:t>
      </w:r>
      <w:r>
        <w:t xml:space="preserve">“no.”</w:t>
      </w:r>
      <w:r>
        <w:t xml:space="preserve"> </w:t>
      </w:r>
      <w:r>
        <w:t xml:space="preserve">The original cSCC transcriptome study found no viral transcription</w:t>
      </w:r>
      <w:r>
        <w:t xml:space="preserve"> </w:t>
      </w:r>
      <w:r>
        <w:t xml:space="preserve">(Arron et al. 2011)</w:t>
      </w:r>
      <w:r>
        <w:t xml:space="preserve">. This was mirrored in a study of 12 skin lesions at a median of 66 million reads</w:t>
      </w:r>
      <w:r>
        <w:t xml:space="preserve"> </w:t>
      </w:r>
      <w:r>
        <w:t xml:space="preserve">(Hultin et al. 2019)</w:t>
      </w:r>
      <w:r>
        <w:t xml:space="preserve">. Similarly, a study of 345 post-transplant tumors at 35 million reads found transcription in only 15 cases</w:t>
      </w:r>
      <w:r>
        <w:t xml:space="preserve"> </w:t>
      </w:r>
      <w:r>
        <w:t xml:space="preserve">(Arroyo Mühr et al. 2021)</w:t>
      </w:r>
      <w:r>
        <w:t xml:space="preserve">. Another study of 23 risk-stratified biopsies showed zero viral expression, despite a 64% DNA positivity rate</w:t>
      </w:r>
      <w:r>
        <w:t xml:space="preserve"> </w:t>
      </w:r>
      <w:r>
        <w:t xml:space="preserve">(Vandiver et al. 2021)</w:t>
      </w:r>
      <w:r>
        <w:t xml:space="preserve">. E6/E7 mRNA in situ hybridization supports these findings, showing expression in just 0.9% of 225 non-anogenital cutaneous SCCs</w:t>
      </w:r>
      <w:r>
        <w:t xml:space="preserve"> </w:t>
      </w:r>
      <w:r>
        <w:t xml:space="preserve">(Fujimoto et al. 2019)</w:t>
      </w:r>
      <w:r>
        <w:t xml:space="preserve">. The literature is not entirely unanimous, however, as in situ hybridization previously demonstrated EV-HPV transcripts in 4 of 11 PCR-positive transplant cSCCs</w:t>
      </w:r>
      <w:r>
        <w:t xml:space="preserve"> </w:t>
      </w:r>
      <w:r>
        <w:t xml:space="preserve">(Purdie et al. 2005)</w:t>
      </w:r>
      <w:r>
        <w:t xml:space="preserve">. Critically, what these existing studies lack is a proper denominator. Sample sizes remain small, ranging from only 11 to 345 specimens. Furthermore, four out of five studies looked exclusively at lesions without an unselected-skin comparator. The largest study was limited to formalin-fixed transplant material, and none scored productive replication.</w:t>
      </w:r>
    </w:p>
    <w:p>
      <w:pPr>
        <w:pStyle w:val="BodyText"/>
      </w:pPr>
      <w:r>
        <w:t xml:space="preserve">Public archives can supply that missing denominator. Standard pipelines discard non-human reads, but these discarded sequences carry the viral signal</w:t>
      </w:r>
      <w:r>
        <w:t xml:space="preserve"> </w:t>
      </w:r>
      <w:r>
        <w:t xml:space="preserve">(Edgar et al. 2022)</w:t>
      </w:r>
      <w:r>
        <w:t xml:space="preserve">. This approach has already been successfully applied to skin studies</w:t>
      </w:r>
      <w:r>
        <w:t xml:space="preserve"> </w:t>
      </w:r>
      <w:r>
        <w:t xml:space="preserve">(Bhargava et al. 2025; Leiendecker et al. 2023)</w:t>
      </w:r>
      <w:r>
        <w:t xml:space="preserve">. However, the method is booby-trapped. HeLa-derived HPV18 contaminates archived data extensively</w:t>
      </w:r>
      <w:r>
        <w:t xml:space="preserve"> </w:t>
      </w:r>
      <w:r>
        <w:t xml:space="preserve">(Adey et al. 2013; Cantalupo et al. 2015; Kazemian et al. 2015)</w:t>
      </w:r>
      <w:r>
        <w:t xml:space="preserve">. Additionally, sequencing depth and library chemistry both limit what any survey can reliably detect. Here, we re-mine public human RNA-seq data across the entire skin spectrum. We ask at what rate cutaneous HPV is transcribed, which specific types are present, and whether the infection is productive.</w:t>
      </w:r>
    </w:p>
    <w:bookmarkEnd w:id="21"/>
    <w:bookmarkStart w:id="47"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met the assignment criterion in 34 libraries cohort-wide, of which 32 were cell lines and none were tissue; HPV16 in 28, of which 24 were cell lines. This is the signature of integrated-HPV lines and their documented contamination of archived data. Genuine primary skin therefore carries HPV at only 2–4%, and the apparent abundance of HPV in public transcriptomes is largely a laboratory artifact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artifact.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provided junctions are scored as clustering rather than raw count. The ratio also rises monotonically with grade in an independent HPV16-positive cervical series: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runs from -1.48 in normal epithelium through -0.36 in high-grade lesion to 1.47 in carcinoma, roughly eightfold in the ratio itself, with late transcription falling away along the same axis. That rise in primary tissue is what shows the marker reads integration as biology rather than culture as provenance.</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group,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The dashed gray line is the 0.2 clustering threshold. (</w:t>
            </w:r>
            <w:r>
              <w:rPr>
                <w:b/>
                <w:bCs/>
              </w:rPr>
              <w:t xml:space="preserve">c</w:t>
            </w:r>
            <w:r>
              <w:t xml:space="preserve">) The ratio rises monotonically with grade across a graded cervical series (SRP252916) of HPV16-positive normal epithelium, high-grade squamous intraepithelial lesion (HSIL) and carcinoma, sequenced under one protocol with no cell line in the series; open circles are libraries and filled diamonds the arm medians, joined by a solid line, and the dashed line at zero is parity as in (</w:t>
            </w:r>
            <w:r>
              <w:rPr>
                <w:b/>
                <w:bCs/>
              </w:rPr>
              <w:t xml:space="preserve">a</w:t>
            </w:r>
            <w:r>
              <w:t xml:space="preserve">).</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Every library, including negatives, was scored as papillomavirus reads per million (RPM). 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by sample group.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and EV biopsies lie far above it, whereas cutaneous neoplasia and unselected skin sit near zero despite neoplasia being sequenced almost four times more deeply than the productive controls (median 45.2M vs 12.2M reads). Group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groups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6,736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group, rRNA-depleted libraries were no likelier than poly-A to carry an HPV read (OR 1.0, 95% CI 0.8–1.2), and among the 657 rRNA-depleted libraries alone, not one in either group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Decomposing the below-floor libraries by gene puts a mechanism under that floor: 63% of the 230 below-floor skin and neoplasia libraries carry no reads on any HPV gene, and only 13% reach the productive threshold, against 91% of productive controls (</w:t>
      </w:r>
      <w:hyperlink w:anchor="suppfig-trace">
        <w:r>
          <w:rPr>
            <w:rStyle w:val="Hyperlink"/>
          </w:rPr>
          <w:t xml:space="preserve">Figure S2</w:t>
        </w:r>
      </w:hyperlink>
      <w:r>
        <w:t xml:space="preserve">). Unselected skin, once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 makes the distinction visible (</w:t>
      </w:r>
      <w:hyperlink w:anchor="fig-orf">
        <w:r>
          <w:rPr>
            <w:rStyle w:val="Hyperlink"/>
          </w:rPr>
          <w:t xml:space="preserve">Figure 3</w:t>
        </w:r>
      </w:hyperlink>
      <w:r>
        <w:t xml:space="preserve">). Productive groups run the complete viral program, capsid genes included (L1 in 90% of productive controls, 95.5% of EV;</w:t>
      </w:r>
      <w:r>
        <w:t xml:space="preserve"> </w:t>
      </w:r>
      <w:hyperlink w:anchor="fig-orf">
        <w:r>
          <w:rPr>
            <w:rStyle w:val="Hyperlink"/>
          </w:rPr>
          <w:t xml:space="preserve">Figure 3</w:t>
        </w:r>
      </w:hyperlink>
      <w:r>
        <w:t xml:space="preserve"> </w:t>
      </w:r>
      <w:r>
        <w:t xml:space="preserve">a). Skin and neoplasia are not a truncated program but a uniformly faint one, low across all six frames alike (unselected skin 10.3% for E6, 18.6% for L1). Cell lines are the third shape: E6 and E7 in 90.4% and 93.4% against E2 in 33.8% and L2 in 10.6%. In composition (</w:t>
      </w:r>
      <w:hyperlink w:anchor="fig-orf">
        <w:r>
          <w:rPr>
            <w:rStyle w:val="Hyperlink"/>
          </w:rPr>
          <w:t xml:space="preserve">Figure 3</w:t>
        </w:r>
      </w:hyperlink>
      <w:r>
        <w:t xml:space="preserve"> </w:t>
      </w:r>
      <w:r>
        <w:t xml:space="preserve">b), productive controls place 34.9% of viral reads on late genes against 6.4% on the oncogenes; cell lines invert this exactly. Read one library at a time, the same split falls out of the criterion itself, productive controls and EV above the L1 ≥ 3 threshold and skin and neoplasia below (</w:t>
      </w:r>
      <w:hyperlink w:anchor="fig-orf">
        <w:r>
          <w:rPr>
            <w:rStyle w:val="Hyperlink"/>
          </w:rPr>
          <w:t xml:space="preserve">Figure 3</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sample group. All panels are conditional on HPV positivity and successful typing, so none is a prevalence statement; group</w:t>
            </w:r>
            <w:r>
              <w:t xml:space="preserve"> </w:t>
            </w:r>
            <w:r>
              <w:rPr>
                <w:i/>
                <w:iCs/>
              </w:rPr>
              <w:t xml:space="preserve">n</w:t>
            </w:r>
            <w:r>
              <w:t xml:space="preserve"> </w:t>
            </w:r>
            <w:r>
              <w:t xml:space="preserve">is on each panel. (</w:t>
            </w:r>
            <w:r>
              <w:rPr>
                <w:b/>
                <w:bCs/>
              </w:rPr>
              <w:t xml:space="preserve">a</w:t>
            </w:r>
            <w:r>
              <w:t xml:space="preserve">) Percentage of a group’s libraries carrying at least one read on each open reading frame, as a Beta-Binomial posterior mean. Productive groups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S3</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sample group. The assigned-type catalog, the detection-level trace catalog, and their union, collapsed from HPV type to genus, with a library contributing to at most one row. Each point is the percentage of that sample group’s libraries in which the genus was detected, as a Beta-Binomial posterior mean under a Beta(0.5, 0.5) prior, and the bar through it is the 95% credible interval; the number above each point is the count of libraries detected. Gray crosses mark a genus never detected in that group, drawn at the axis floor because the</w:t>
            </w:r>
            <w:r>
              <w:t xml:space="preserve"> </w:t>
            </w:r>
            <w:r>
              <w:rPr>
                <w:i/>
                <w:iCs/>
              </w:rPr>
              <w:t xml:space="preserve">y</w:t>
            </w:r>
            <w:r>
              <w:t xml:space="preserve">-axis is log-scaled and its lowest tick, labeled 0, is a placeholder for zero. High-risk mucosal alpha types concentrate in cultured and engineered material, the cutaneous beta and gamma genera dominate healthy skin and EV, and productive controls carry the wart-associated alpha and mu types. The trace level is where the healthy-skin beta/gamma reservoir becomes visible, most of it falling below the criterion for a type assignment.</w:t>
            </w:r>
          </w:p>
          <w:bookmarkEnd w:id="40"/>
        </w:tc>
      </w:tr>
    </w:tbl>
    <w:bookmarkEnd w:id="41"/>
    <w:bookmarkStart w:id="46" w:name="X319f9cefb35454de48114c91b33e0ec833bb09f"/>
    <w:p>
      <w:pPr>
        <w:pStyle w:val="Heading3"/>
      </w:pPr>
      <w:r>
        <w:t xml:space="preserve">The reservoir is independently present in public skin DNA</w:t>
      </w:r>
    </w:p>
    <w:p>
      <w:pPr>
        <w:pStyle w:val="FirstParagraph"/>
      </w:pPr>
      <w:r>
        <w:t xml:space="preserve">Silence is only informative against a reservoir known to exist, so we re-tabulated a petabase-scale papillomavirus catalog of public metagenome assemblies</w:t>
      </w:r>
      <w:r>
        <w:t xml:space="preserve"> </w:t>
      </w:r>
      <w:r>
        <w:t xml:space="preserve">(Chikhi et al. 2024; Shen et al. 2026)</w:t>
      </w:r>
      <w:r>
        <w:t xml:space="preserve"> </w:t>
      </w:r>
      <w:r>
        <w:t xml:space="preserve">by body site (Methods). Skin metagenomes contribute 1,735 HPV-positive libraries with a cutaneous commensal composition (beta 57.9%, gamma 40.7%, alpha 7.4%), while the same procedure returns the mucosal niche for vaginal metagenomes (alpha 84.5%), so the read-out is not assembly noise (</w:t>
      </w:r>
      <w:hyperlink w:anchor="suppfig-reservoir-gut">
        <w:r>
          <w:rPr>
            <w:rStyle w:val="Hyperlink"/>
          </w:rPr>
          <w:t xml:space="preserve">Figure S4</w:t>
        </w:r>
      </w:hyperlink>
      <w:r>
        <w:t xml:space="preserve">). The 14 commonest reservoir types are beta and gamma but for HPV2, and our detection level sees them only as a trace: across our 7,800 unselected-skin libraries they account for 0 assigned and 9 trace detections (</w:t>
      </w:r>
      <w:hyperlink w:anchor="fig-reservoir">
        <w:r>
          <w:rPr>
            <w:rStyle w:val="Hyperlink"/>
          </w:rPr>
          <w:t xml:space="preserve">Figure 5</w:t>
        </w:r>
      </w:hyperlink>
      <w:r>
        <w:t xml:space="preserve"> </w:t>
      </w:r>
      <w:r>
        <w:t xml:space="preserve">a). Across all 130 types the disagreement is general: 102 of the 115 types present in the reservoir are productive in no library here, and HPV2 alone is both abundant in skin DNA and productive in our RNA (</w:t>
      </w:r>
      <w:hyperlink w:anchor="fig-reservoir">
        <w:r>
          <w:rPr>
            <w:rStyle w:val="Hyperlink"/>
          </w:rPr>
          <w:t xml:space="preserve">Figure 5</w:t>
        </w:r>
      </w:hyperlink>
      <w:r>
        <w:t xml:space="preserve"> </w:t>
      </w:r>
      <w:r>
        <w:t xml:space="preserve">b). HPV8, the beta type most often named as the cutaneous carcinoma candidate in serological and DNA studies, is the sharpest case: it is the eighth commonest type in the reservoir, carried by 63 of the 1,735 HPV-positive skin DNA libraries, yet it appears in 0 of the 10,834 RNA libraries screened here, at any level and whether assigned or trace.</w:t>
      </w:r>
    </w:p>
    <w:tbl>
      <w:tblPr>
        <w:tblStyle w:val="Table"/>
        <w:tblW w:type="pct" w:w="5000"/>
        <w:tblLayout w:type="fixed"/>
        <w:tblLook w:firstRow="0" w:lastRow="0" w:firstColumn="0" w:lastColumn="0" w:noHBand="0" w:noVBand="0" w:val="0000"/>
      </w:tblPr>
      <w:tblGrid>
        <w:gridCol w:w="7920"/>
      </w:tblGrid>
      <w:tr>
        <w:tc>
          <w:tcPr/>
          <w:bookmarkStart w:id="45" w:name="fig-reservoir"/>
          <w:p>
            <w:pPr>
              <w:pStyle w:val="Compact"/>
              <w:jc w:val="center"/>
            </w:pPr>
            <w:r>
              <w:drawing>
                <wp:inline>
                  <wp:extent cx="5943600" cy="2601032"/>
                  <wp:effectExtent b="0" l="0" r="0" t="0"/>
                  <wp:docPr descr="" title="" id="43" name="Picture"/>
                  <a:graphic>
                    <a:graphicData uri="http://schemas.openxmlformats.org/drawingml/2006/picture">
                      <pic:pic>
                        <pic:nvPicPr>
                          <pic:cNvPr descr="figure5.png" id="44" name="Picture"/>
                          <pic:cNvPicPr>
                            <a:picLocks noChangeArrowheads="1" noChangeAspect="1"/>
                          </pic:cNvPicPr>
                        </pic:nvPicPr>
                        <pic:blipFill>
                          <a:blip r:embed="rId42"/>
                          <a:stretch>
                            <a:fillRect/>
                          </a:stretch>
                        </pic:blipFill>
                        <pic:spPr bwMode="auto">
                          <a:xfrm>
                            <a:off x="0" y="0"/>
                            <a:ext cx="5943600" cy="2601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skin HPV DNA reservoir against its transcriptional silence. Re-tabulation of a Logan-wide papillomavirus catalog</w:t>
            </w:r>
            <w:r>
              <w:t xml:space="preserve"> </w:t>
            </w:r>
            <w:r>
              <w:t xml:space="preserve">(Shen et al. 2026)</w:t>
            </w:r>
            <w:r>
              <w:t xml:space="preserve"> </w:t>
            </w:r>
            <w:r>
              <w:t xml:space="preserve">by body site (Methods), restricted to skin; the body-site comparison that validates the read-out is</w:t>
            </w:r>
            <w:r>
              <w:t xml:space="preserve"> </w:t>
            </w:r>
            <w:hyperlink w:anchor="suppfig-reservoir-gut">
              <w:r>
                <w:rPr>
                  <w:rStyle w:val="Hyperlink"/>
                </w:rPr>
                <w:t xml:space="preserve">Figure S4</w:t>
              </w:r>
            </w:hyperlink>
            <w:r>
              <w:t xml:space="preserve">. (</w:t>
            </w:r>
            <w:r>
              <w:rPr>
                <w:b/>
                <w:bCs/>
              </w:rPr>
              <w:t xml:space="preserve">a</w:t>
            </w:r>
            <w:r>
              <w:t xml:space="preserve">) The 14 commonest types in the skin reservoir, as a percentage of the 1,735 HPV-positive skin DNA libraries. HPV2 is the only alpha type among them. A co-infected library contributes to more than one genus, so this is composition, not prevalence. The two cells beside each bar are that type’s assigned and detection-level counts among the 7,800 unselected-skin RNA libraries here, shaded only where non-zero; the assigned column is empty throughout. (</w:t>
            </w:r>
            <w:r>
              <w:rPr>
                <w:b/>
                <w:bCs/>
              </w:rPr>
              <w:t xml:space="preserve">b</w:t>
            </w:r>
            <w:r>
              <w:t xml:space="preserve">) All 130 types resolved in either modality: skin DNA libraries carrying the type against libraries transcribing it productively (warts and EV), log</w:t>
            </w:r>
            <w:r>
              <w:rPr>
                <w:vertAlign w:val="subscript"/>
              </w:rPr>
              <w:t xml:space="preserve">10</w:t>
            </w:r>
            <w:r>
              <w:t xml:space="preserve">(</w:t>
            </w:r>
            <w:r>
              <w:rPr>
                <w:i/>
                <w:iCs/>
              </w:rPr>
              <w:t xml:space="preserve">n</w:t>
            </w:r>
            <w:r>
              <w:t xml:space="preserve"> </w:t>
            </w:r>
            <w:r>
              <w:t xml:space="preserve">+ 1), jittered. The shaded corner is abundant</w:t>
            </w:r>
            <w:r>
              <w:t xml:space="preserve"> </w:t>
            </w:r>
            <w:r>
              <w:rPr>
                <w:i/>
                <w:iCs/>
              </w:rPr>
              <w:t xml:space="preserve">and</w:t>
            </w:r>
            <w:r>
              <w:t xml:space="preserve"> </w:t>
            </w:r>
            <w:r>
              <w:t xml:space="preserve">productive, the conjunction the reservoir-to-disease inference assumes; HPV2 is its only occupant. The reservoir is present in DNA and near-absent from the assigned RNA catalog.</w:t>
            </w:r>
          </w:p>
          <w:bookmarkEnd w:id="45"/>
        </w:tc>
      </w:tr>
    </w:tbl>
    <w:bookmarkEnd w:id="46"/>
    <w:bookmarkEnd w:id="47"/>
    <w:bookmarkStart w:id="48"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cSCC and actinic keratosis, it appears only as a trace amount, a presence that increased sequencing depth or improved library chemistry cannot turn into a productive infection.</w:t>
      </w:r>
    </w:p>
    <w:p>
      <w:pPr>
        <w:pStyle w:val="BodyText"/>
      </w:pPr>
      <w:r>
        <w:t xml:space="preserve">Previous studies have reported transcriptional silence of HPV in cutaneous carcinoma across four independent RNA-sequencing cohorts</w:t>
      </w:r>
      <w:r>
        <w:t xml:space="preserve"> </w:t>
      </w:r>
      <w:r>
        <w:t xml:space="preserve">(Arron et al. 2011; Arroyo Mühr et al. 2021; Hultin et al. 2019; Vandiver et al. 2021)</w:t>
      </w:r>
      <w:r>
        <w:t xml:space="preserve">. In situ hybridization in similar cohort sizes supports these findings</w:t>
      </w:r>
      <w:r>
        <w:t xml:space="preserve"> </w:t>
      </w:r>
      <w:r>
        <w:t xml:space="preserve">(Fujimoto et al. 2019)</w:t>
      </w:r>
      <w:r>
        <w:t xml:space="preserve">. Because two prior series reached median depths of 35 and 66 million reads, shallow sequencing does not explain the negative results. Our study adds rigorous controls, a clear denominator, and a defined metric. While past work evaluated 11 to 345 specimens, we jointly analyze 406 cSCC/AK libraries and 7,800 unselected-skin libraries in one pipeline. This changes a simple absence report into a quantified case-control comparison with an effect size. Instead of only scoring viral presence or transcription, we measure productive replication against a calibrated baseline. We anchor this baseline using lesions with confirmed productive infection. We evaluate</w:t>
      </w:r>
      <w:r>
        <w:t xml:space="preserve"> </w:t>
      </w:r>
      <w:r>
        <w:t xml:space="preserve">“no productive infection in cSCC/AK”</w:t>
      </w:r>
      <w:r>
        <w:t xml:space="preserve"> </w:t>
      </w:r>
      <w:r>
        <w:t xml:space="preserve">using an instrument that reports 93.2% productivity in warts.</w:t>
      </w:r>
    </w:p>
    <w:p>
      <w:pPr>
        <w:pStyle w:val="BodyText"/>
      </w:pPr>
      <w:r>
        <w:t xml:space="preserve">This result does not settle the underlying mechanism. All three models predict a declining viral signal along the progression axis. The hit-and-run model works because a genome that nothing selects for is lost from the expanding clone, dispensability being what permits that loss rather than what causes it</w:t>
      </w:r>
      <w:r>
        <w:t xml:space="preserve"> </w:t>
      </w:r>
      <w:r>
        <w:t xml:space="preserve">(You et al. 2004)</w:t>
      </w:r>
      <w:r>
        <w:t xml:space="preserve">. Protective immunity works because virus-positive cells face negative selection</w:t>
      </w:r>
      <w:r>
        <w:t xml:space="preserve"> </w:t>
      </w:r>
      <w:r>
        <w:t xml:space="preserve">(Son et al. 2025; Strickley et al. 2019)</w:t>
      </w:r>
      <w:r>
        <w:t xml:space="preserve">. Cis-restriction works because quiescence is the viral default</w:t>
      </w:r>
      <w:r>
        <w:t xml:space="preserve"> </w:t>
      </w:r>
      <w:r>
        <w:t xml:space="preserve">(Rehm et al. 2022)</w:t>
      </w:r>
      <w:r>
        <w:t xml:space="preserve">. A fourth consideration is not a model but a property of the readout: late transcription requires terminal differentiation</w:t>
      </w:r>
      <w:r>
        <w:t xml:space="preserve"> </w:t>
      </w:r>
      <w:r>
        <w:t xml:space="preserve">(Doorbar et al. 2012)</w:t>
      </w:r>
      <w:r>
        <w:t xml:space="preserve">, so a poorly differentiated tumor cannot run the late program regardless. Our trace decomposition answers it, since 63% of below-floor skin and neoplasia libraries carry no reads on any HPV gene at all, not merely no late ones (</w:t>
      </w:r>
      <w:hyperlink w:anchor="suppfig-trace">
        <w:r>
          <w:rPr>
            <w:rStyle w:val="Hyperlink"/>
          </w:rPr>
          <w:t xml:space="preserve">Figure S2</w:t>
        </w:r>
      </w:hyperlink>
      <w:r>
        <w:t xml:space="preserve">). Our data measure this exact axis and cannot separate the three. Son and colleagues found elevated beta-HPV activity in sun-exposed skin. This finding does not conflict with our quiet reservoir. Their study observed local activity in keratinocyte clones. Our study used whole biopsies without sorting for ultraviolet exposure. A wide biopsy average dilutes a small clonal signal. The same logic applies to the HPV8-driven expansion of Lrig1⁺ follicular stem cells in actinic keratosis</w:t>
      </w:r>
      <w:r>
        <w:t xml:space="preserve"> </w:t>
      </w:r>
      <w:r>
        <w:t xml:space="preserve">(Morgan et al. 2024)</w:t>
      </w:r>
      <w:r>
        <w:t xml:space="preserve">. We agree on viral presence, as we recovered trace HPV from 62.5% of AK libraries. An E6-driven stem cell mechanism requires oncogene function, not capsid production. This matches our non-productive footprint. A randomized trial shows that the nine-valent vaccine reduces the burden of actinic keratosis</w:t>
      </w:r>
      <w:r>
        <w:t xml:space="preserve"> </w:t>
      </w:r>
      <w:r>
        <w:t xml:space="preserve">(Wenande et al. 2025)</w:t>
      </w:r>
      <w:r>
        <w:t xml:space="preserve">. This vaccine targets mucosal alpha types rather than the resident beta reservoir. Therefore,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These are Betapapillomavirus 1, 5 and 2 respectively, so the genus running a complete productive program in these lesions is the same genus the cofactor debate concerns. Productive beta-HPV infection of primary skin is therefore possible and simply rare. The silence we report in cutaneous neoplasia is consequently not a ceiling on what beta-HPV can do in skin, because the same assay detects it doing exactly that in a handful of libraries. We are not aware of productive HPV12, HPV96 or HPV182 being reported from public RNA-seq of primary skin before.</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et al. 2019a)</w:t>
      </w:r>
      <w:r>
        <w:t xml:space="preserve">, while RNA-seq uses deep biopsies that miss surface and hair follicle layers. Third, screening panels miss 229 skin types that lack reference genomes</w:t>
      </w:r>
      <w:r>
        <w:t xml:space="preserve"> </w:t>
      </w:r>
      <w:r>
        <w:t xml:space="preserve">(Bzhalava et al. 2014)</w:t>
      </w:r>
      <w:r>
        <w:t xml:space="preserve">. Ultimately, our figure reflects the actively transcribed portion of a widespread reservoir. DNA data confirms that the general reservoir differs from tumor-driving viruses: fewer than 5% of skin types match later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heavily dominated by contamination. For instance, cultured materials show a five-fold enrichment that reflects known HeLa cell contamination in archives</w:t>
      </w:r>
      <w:r>
        <w:t xml:space="preserve"> </w:t>
      </w:r>
      <w:r>
        <w:t xml:space="preserve">(Adey et al. 2013; Cantalupo et al. 2015; Kazemian et al. 2015)</w:t>
      </w:r>
      <w:r>
        <w:t xml:space="preserve">, traced in one facility to a quality-control cell pool run with tumors</w:t>
      </w:r>
      <w:r>
        <w:t xml:space="preserve"> </w:t>
      </w:r>
      <w:r>
        <w:t xml:space="preserve">(Selitsky et al. 2020)</w:t>
      </w:r>
      <w:r>
        <w:t xml:space="preserve">. Furthermore, over 65% of viral sequences from 712 libraries group with reagents or protocols instead of actual specimens</w:t>
      </w:r>
      <w:r>
        <w:t xml:space="preserve"> </w:t>
      </w:r>
      <w:r>
        <w:t xml:space="preserve">(Asplund et al. 2019)</w:t>
      </w:r>
      <w:r>
        <w:t xml:space="preserve">, and re-analyses have completely invalidated major archive-scale microbial findings</w:t>
      </w:r>
      <w:r>
        <w:t xml:space="preserve"> </w:t>
      </w:r>
      <w:r>
        <w:t xml:space="preserve">(Gihawi et al. 2023)</w:t>
      </w:r>
      <w:r>
        <w:t xml:space="preserve">. While our safeguards are not individually new</w:t>
      </w:r>
      <w:r>
        <w:t xml:space="preserve"> </w:t>
      </w:r>
      <w:r>
        <w:t xml:space="preserve">(Cantalupo and Pipas 2019)</w:t>
      </w:r>
      <w:r>
        <w:t xml:space="preserve">, our contribution lies in operationalizing them by quantifying the size of each artifact rather than merely asserting it.</w:t>
      </w:r>
    </w:p>
    <w:p>
      <w:pPr>
        <w:pStyle w:val="BodyText"/>
      </w:pPr>
      <w:r>
        <w:t xml:space="preserve">While petabase-scale surveys are now the standard method for establishing viral presence across body sites, a presence catalog cannot measure biological activity. Because these surveys rely on sequence assembly, integrated genomes fail to assemble across the virus-host junction. Consequently, the viral genome state must be inferred from individual reads or transcription rather than catalog membership alone.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finding approaches a tautology, as the completeness criterion itself inherently selects for episomal genomes in both tissues.</w:t>
      </w:r>
    </w:p>
    <w:p>
      <w:pPr>
        <w:pStyle w:val="BodyText"/>
      </w:pPr>
      <w:r>
        <w:t xml:space="preserve">Several limitations affect these findings, starting with the non-random nature of archival sampling, which makes the absolute healthy-skin rate an estimate. Furthermore, sequencing chemistry could only be resolved for 62.2% of libraries, while input amount, RNA integrity, and fragment selection are entirely unrecoverable from the archived metadata. Additionally, bulk sequencing averages data across an entire biopsy, which dilutes focal transcription. This dilution is a documented reality for cutaneous HPV</w:t>
      </w:r>
      <w:r>
        <w:t xml:space="preserve"> </w:t>
      </w:r>
      <w:r>
        <w:t xml:space="preserve">(Purdie et al. 2005)</w:t>
      </w:r>
      <w:r>
        <w:t xml:space="preserve"> </w:t>
      </w:r>
      <w:r>
        <w:t xml:space="preserve">and means our productivity estimates represent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presents a active, productive infection in warts and epidermodysplasia verruciformis, but leaves only a trace, non-productive footprint in cutaneous squamous neoplasia, regardless of sequencing depth or library chemistry. This distinct phenotype forms the fundamental baseline that any current theory of beta-HPV in skin cancer must address. Because all major hypotheses predict this exact outcome, simply measuring viral activity with higher precision will not differentiate between them. Instead, distinguishing these mechanisms will require study designs that disrupt this shared prediction. Crucial approaches include matched DNA and RNA profiling across the precursor-to-carcinoma transition, precise spatial resolution of residual viral particles relative to mutant clones and infiltrating T cells, and ongoing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8"/>
    <w:bookmarkStart w:id="49"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Group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per-group medians spanning 95.8% to 99.5%, so no group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RPM, the depth-normalized burden used throughout.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9"/>
    <w:bookmarkStart w:id="50" w:name="affiliations"/>
    <w:p>
      <w:pPr>
        <w:pStyle w:val="Heading2"/>
      </w:pPr>
      <w:r>
        <w:t xml:space="preserve">Affiliations</w:t>
      </w:r>
    </w:p>
    <w:p>
      <w:pPr>
        <w:pStyle w:val="Compact"/>
        <w:numPr>
          <w:ilvl w:val="0"/>
          <w:numId w:val="1001"/>
        </w:numPr>
      </w:pPr>
      <w:r>
        <w:t xml:space="preserve">Institute of Biomedicine and Translational Medicine, University of Tartu, Tartu, Estonia</w:t>
      </w:r>
    </w:p>
    <w:p>
      <w:pPr>
        <w:pStyle w:val="Compact"/>
        <w:numPr>
          <w:ilvl w:val="0"/>
          <w:numId w:val="1001"/>
        </w:numPr>
      </w:pPr>
      <w:r>
        <w:t xml:space="preserve">Institute of Technology, University of Tartu, Tartu, Estonia</w:t>
      </w:r>
    </w:p>
    <w:p>
      <w:pPr>
        <w:pStyle w:val="FirstParagraph"/>
      </w:pPr>
      <w:r>
        <w:t xml:space="preserve">Taavi Päll</w:t>
      </w:r>
      <w:r>
        <w:rPr>
          <w:vertAlign w:val="superscript"/>
        </w:rPr>
        <w:t xml:space="preserve">1</w:t>
      </w:r>
      <w:r>
        <w:t xml:space="preserve">, Alla Piirsoo</w:t>
      </w:r>
      <w:r>
        <w:rPr>
          <w:vertAlign w:val="superscript"/>
        </w:rPr>
        <w:t xml:space="preserve">2</w:t>
      </w:r>
      <w:r>
        <w:t xml:space="preserve">, Marko Piirsoo</w:t>
      </w:r>
      <w:r>
        <w:rPr>
          <w:vertAlign w:val="superscript"/>
        </w:rPr>
        <w:t xml:space="preserve">2</w:t>
      </w:r>
    </w:p>
    <w:p>
      <w:pPr>
        <w:pStyle w:val="BodyText"/>
      </w:pPr>
      <w:r>
        <w:t xml:space="preserve">Correspondence: Taavi Päll, Institute of Biomedicine and Translational Medicine, Biomeedikum, Ravila 19, 50411 Tartu, Estonia. Email: taavi.pall@ut.ee. Telephone: +372 737 4185</w:t>
      </w:r>
    </w:p>
    <w:bookmarkEnd w:id="50"/>
    <w:bookmarkStart w:id="52" w:name="orcids"/>
    <w:p>
      <w:pPr>
        <w:pStyle w:val="Heading2"/>
      </w:pPr>
      <w:r>
        <w:t xml:space="preserve">ORCiDs</w:t>
      </w:r>
    </w:p>
    <w:p>
      <w:pPr>
        <w:pStyle w:val="FirstParagraph"/>
      </w:pPr>
      <w:r>
        <w:t xml:space="preserve">Taavi Päll:</w:t>
      </w:r>
      <w:r>
        <w:t xml:space="preserve"> </w:t>
      </w:r>
      <w:hyperlink r:id="rId51">
        <w:r>
          <w:rPr>
            <w:rStyle w:val="Hyperlink"/>
          </w:rPr>
          <w:t xml:space="preserve">https://orcid.org/0000-0001-7606-675X</w:t>
        </w:r>
      </w:hyperlink>
    </w:p>
    <w:p>
      <w:pPr>
        <w:pStyle w:val="BodyText"/>
      </w:pPr>
      <w:r>
        <w:t xml:space="preserve">Alla Piirsoo: [to be completed]</w:t>
      </w:r>
    </w:p>
    <w:p>
      <w:pPr>
        <w:pStyle w:val="BodyText"/>
      </w:pPr>
      <w:r>
        <w:t xml:space="preserve">Marko Piirsoo: [to be completed]</w:t>
      </w:r>
    </w:p>
    <w:bookmarkEnd w:id="52"/>
    <w:bookmarkStart w:id="53" w:name="ethics-statement"/>
    <w:p>
      <w:pPr>
        <w:pStyle w:val="Heading2"/>
      </w:pPr>
      <w:r>
        <w:t xml:space="preserve">Ethics Statement</w:t>
      </w:r>
    </w:p>
    <w:p>
      <w:pPr>
        <w:pStyle w:val="FirstParagraph"/>
      </w:pPr>
      <w:r>
        <w:t xml:space="preserve">This study analyzed only publicly archived, de-identified human sequencing data retrieved from the NCBI Sequence Read Archive, and generated no new human or animal material. Institutional review board approval and informed consent were therefore not required for the work reported here. Ethical approval and participant consent for the primary studies were the responsibility of their submitting investigators and are recorded in the corresponding BioProject entries.</w:t>
      </w:r>
    </w:p>
    <w:bookmarkEnd w:id="53"/>
    <w:bookmarkStart w:id="56"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54">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55">
        <w:r>
          <w:rPr>
            <w:rStyle w:val="Hyperlink"/>
          </w:rPr>
          <w:t xml:space="preserve">https://pave.niaid.nih.gov</w:t>
        </w:r>
      </w:hyperlink>
      <w:r>
        <w:t xml:space="preserve">) and NCBI RefSeq. No new sequencing data were generated.</w:t>
      </w:r>
    </w:p>
    <w:bookmarkEnd w:id="56"/>
    <w:bookmarkStart w:id="57" w:name="conflict-of-interest"/>
    <w:p>
      <w:pPr>
        <w:pStyle w:val="Heading2"/>
      </w:pPr>
      <w:r>
        <w:t xml:space="preserve">Conflict of Interest</w:t>
      </w:r>
    </w:p>
    <w:p>
      <w:pPr>
        <w:pStyle w:val="FirstParagraph"/>
      </w:pPr>
      <w:r>
        <w:t xml:space="preserve">The authors state no conflict of interest.</w:t>
      </w:r>
    </w:p>
    <w:bookmarkEnd w:id="57"/>
    <w:bookmarkStart w:id="58" w:name="acknowledgments"/>
    <w:p>
      <w:pPr>
        <w:pStyle w:val="Heading2"/>
      </w:pPr>
      <w:r>
        <w:t xml:space="preserve">Acknowledgments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58"/>
    <w:bookmarkStart w:id="59"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9"/>
    <w:bookmarkStart w:id="159" w:name="references"/>
    <w:p>
      <w:pPr>
        <w:pStyle w:val="Heading2"/>
      </w:pPr>
      <w:r>
        <w:t xml:space="preserve">References</w:t>
      </w:r>
    </w:p>
    <w:bookmarkStart w:id="158" w:name="refs"/>
    <w:bookmarkStart w:id="61" w:name="ref-adey2013"/>
    <w:p>
      <w:pPr>
        <w:pStyle w:val="Bibliography"/>
      </w:pPr>
      <w:r>
        <w:t xml:space="preserve">Adey A, Burton JN, Kitzman JO, Hiatt JB, Lewis AP, Martin BK, et al.</w:t>
      </w:r>
      <w:r>
        <w:t xml:space="preserve"> </w:t>
      </w:r>
      <w:hyperlink r:id="rId60">
        <w:r>
          <w:rPr>
            <w:rStyle w:val="Hyperlink"/>
          </w:rPr>
          <w:t xml:space="preserve">The haplotype-resolved genome and epigenome of the aneuploid</w:t>
        </w:r>
        <w:r>
          <w:rPr>
            <w:rStyle w:val="Hyperlink"/>
          </w:rPr>
          <w:t xml:space="preserve"> </w:t>
        </w:r>
        <w:r>
          <w:rPr>
            <w:rStyle w:val="Hyperlink"/>
          </w:rPr>
          <w:t xml:space="preserve">HeLa</w:t>
        </w:r>
        <w:r>
          <w:rPr>
            <w:rStyle w:val="Hyperlink"/>
          </w:rPr>
          <w:t xml:space="preserve"> </w:t>
        </w:r>
        <w:r>
          <w:rPr>
            <w:rStyle w:val="Hyperlink"/>
          </w:rPr>
          <w:t xml:space="preserve">cancer cell line</w:t>
        </w:r>
      </w:hyperlink>
      <w:r>
        <w:t xml:space="preserve">. Nature. 2013;500:207–11</w:t>
      </w:r>
    </w:p>
    <w:bookmarkEnd w:id="61"/>
    <w:bookmarkStart w:id="63" w:name="ref-antonsson2000"/>
    <w:p>
      <w:pPr>
        <w:pStyle w:val="Bibliography"/>
      </w:pPr>
      <w:r>
        <w:t xml:space="preserve">Antonsson A, Forslund O, Ekberg H, Sterner G, Hansson BG.</w:t>
      </w:r>
      <w:r>
        <w:t xml:space="preserve"> </w:t>
      </w:r>
      <w:hyperlink r:id="rId62">
        <w:r>
          <w:rPr>
            <w:rStyle w:val="Hyperlink"/>
          </w:rPr>
          <w:t xml:space="preserve">The ubiquity and impressive genomic diversity of human skin papillomaviruses suggest a commensalic nature of these viruses</w:t>
        </w:r>
      </w:hyperlink>
      <w:r>
        <w:t xml:space="preserve">. Journal of Virology. 2000;74(24):11636–41</w:t>
      </w:r>
    </w:p>
    <w:bookmarkEnd w:id="63"/>
    <w:bookmarkStart w:id="65" w:name="ref-arron2011"/>
    <w:p>
      <w:pPr>
        <w:pStyle w:val="Bibliography"/>
      </w:pPr>
      <w:r>
        <w:t xml:space="preserve">Arron ST, Graham Ruby J, Dybbro E, Ganem D, DeRisi JL.</w:t>
      </w:r>
      <w:r>
        <w:t xml:space="preserve"> </w:t>
      </w:r>
      <w:hyperlink r:id="rId64">
        <w:r>
          <w:rPr>
            <w:rStyle w:val="Hyperlink"/>
          </w:rPr>
          <w:t xml:space="preserve">Transcriptome sequencing demonstrates that human papillomavirus is not active in cutaneous squamous cell carcinoma</w:t>
        </w:r>
      </w:hyperlink>
      <w:r>
        <w:t xml:space="preserve">. Journal of Investigative Dermatology. 2011;131(8):1745–53</w:t>
      </w:r>
    </w:p>
    <w:bookmarkEnd w:id="65"/>
    <w:bookmarkStart w:id="67" w:name="ref-arroyomuhr2021"/>
    <w:p>
      <w:pPr>
        <w:pStyle w:val="Bibliography"/>
      </w:pPr>
      <w:r>
        <w:t xml:space="preserve">Arroyo Mühr LS, Hultin E, Dillner J.</w:t>
      </w:r>
      <w:r>
        <w:t xml:space="preserve"> </w:t>
      </w:r>
      <w:hyperlink r:id="rId66">
        <w:r>
          <w:rPr>
            <w:rStyle w:val="Hyperlink"/>
          </w:rPr>
          <w:t xml:space="preserve">Transcription of human papillomaviruses in nonmelanoma skin cancers of the immunosuppressed</w:t>
        </w:r>
      </w:hyperlink>
      <w:r>
        <w:t xml:space="preserve">. International Journal of Cancer. 2021;149(6):1341–7</w:t>
      </w:r>
    </w:p>
    <w:bookmarkEnd w:id="67"/>
    <w:bookmarkStart w:id="69" w:name="ref-asplund2019"/>
    <w:p>
      <w:pPr>
        <w:pStyle w:val="Bibliography"/>
      </w:pPr>
      <w:r>
        <w:t xml:space="preserve">Asplund M, Kjartansdóttir KR, Mollerup S, Vinner L, Fridholm H, Herrera JAR, et al.</w:t>
      </w:r>
      <w:r>
        <w:t xml:space="preserve"> </w:t>
      </w:r>
      <w:hyperlink r:id="rId68">
        <w:r>
          <w:rPr>
            <w:rStyle w:val="Hyperlink"/>
          </w:rPr>
          <w:t xml:space="preserve">Contaminating viral sequences in high-throughput sequencing viromics: A linkage study of 700 sequencing libraries</w:t>
        </w:r>
      </w:hyperlink>
      <w:r>
        <w:t xml:space="preserve">. Clinical Microbiology and Infection. 2019;25(10):1277–85</w:t>
      </w:r>
    </w:p>
    <w:bookmarkEnd w:id="69"/>
    <w:bookmarkStart w:id="71" w:name="ref-bhargava2025"/>
    <w:p>
      <w:pPr>
        <w:pStyle w:val="Bibliography"/>
      </w:pPr>
      <w:r>
        <w:t xml:space="preserve">Bhargava D, Labadie A, Hanson-Rios-Stutz RL, Goodyke A, Moses EM, Das AS, et al.</w:t>
      </w:r>
      <w:r>
        <w:t xml:space="preserve"> </w:t>
      </w:r>
      <w:hyperlink r:id="rId70">
        <w:r>
          <w:rPr>
            <w:rStyle w:val="Hyperlink"/>
          </w:rPr>
          <w:t xml:space="preserve">From castaways to discoveries: Unveiling treasures in skin</w:t>
        </w:r>
        <w:r>
          <w:rPr>
            <w:rStyle w:val="Hyperlink"/>
          </w:rPr>
          <w:t xml:space="preserve"> </w:t>
        </w:r>
        <w:r>
          <w:rPr>
            <w:rStyle w:val="Hyperlink"/>
          </w:rPr>
          <w:t xml:space="preserve">RNAseq</w:t>
        </w:r>
        <w:r>
          <w:rPr>
            <w:rStyle w:val="Hyperlink"/>
          </w:rPr>
          <w:t xml:space="preserve"> </w:t>
        </w:r>
        <w:r>
          <w:rPr>
            <w:rStyle w:val="Hyperlink"/>
          </w:rPr>
          <w:t xml:space="preserve">using a novel multidimensional data processing workflow including infection-host dynamics</w:t>
        </w:r>
      </w:hyperlink>
      <w:r>
        <w:t xml:space="preserve">. Physiological Genomics. 2025;57(5):343–56</w:t>
      </w:r>
    </w:p>
    <w:bookmarkEnd w:id="71"/>
    <w:bookmarkStart w:id="73" w:name="ref-bzhalava2014"/>
    <w:p>
      <w:pPr>
        <w:pStyle w:val="Bibliography"/>
      </w:pPr>
      <w:r>
        <w:t xml:space="preserve">Bzhalava D, Arroyo Mühr LS, Lagheden C, Ekström J, Forslund O, Dillner J, et al.</w:t>
      </w:r>
      <w:r>
        <w:t xml:space="preserve"> </w:t>
      </w:r>
      <w:hyperlink r:id="rId72">
        <w:r>
          <w:rPr>
            <w:rStyle w:val="Hyperlink"/>
          </w:rPr>
          <w:t xml:space="preserve">Deep sequencing extends the diversity of human papillomaviruses in human skin</w:t>
        </w:r>
      </w:hyperlink>
      <w:r>
        <w:t xml:space="preserve">. Scientific Reports. 2014;4:5807</w:t>
      </w:r>
    </w:p>
    <w:bookmarkEnd w:id="73"/>
    <w:bookmarkStart w:id="75" w:name="ref-cantalupo2015"/>
    <w:p>
      <w:pPr>
        <w:pStyle w:val="Bibliography"/>
      </w:pPr>
      <w:r>
        <w:t xml:space="preserve">Cantalupo PG, Katz JP, Pipas JM.</w:t>
      </w:r>
      <w:r>
        <w:t xml:space="preserve"> </w:t>
      </w:r>
      <w:hyperlink r:id="rId74">
        <w:r>
          <w:rPr>
            <w:rStyle w:val="Hyperlink"/>
          </w:rPr>
          <w:t xml:space="preserve">HeLa</w:t>
        </w:r>
        <w:r>
          <w:rPr>
            <w:rStyle w:val="Hyperlink"/>
          </w:rPr>
          <w:t xml:space="preserve"> </w:t>
        </w:r>
        <w:r>
          <w:rPr>
            <w:rStyle w:val="Hyperlink"/>
          </w:rPr>
          <w:t xml:space="preserve">nucleic acid contamination in</w:t>
        </w:r>
        <w:r>
          <w:rPr>
            <w:rStyle w:val="Hyperlink"/>
          </w:rPr>
          <w:t xml:space="preserve"> </w:t>
        </w:r>
        <w:r>
          <w:rPr>
            <w:rStyle w:val="Hyperlink"/>
          </w:rPr>
          <w:t xml:space="preserve">The Cancer Genome Atlas</w:t>
        </w:r>
        <w:r>
          <w:rPr>
            <w:rStyle w:val="Hyperlink"/>
          </w:rPr>
          <w:t xml:space="preserve"> </w:t>
        </w:r>
        <w:r>
          <w:rPr>
            <w:rStyle w:val="Hyperlink"/>
          </w:rPr>
          <w:t xml:space="preserve">leads to the misidentification of human papillomavirus 18</w:t>
        </w:r>
      </w:hyperlink>
      <w:r>
        <w:t xml:space="preserve">. Journal of Virology. 2015;89(8):4051–7</w:t>
      </w:r>
    </w:p>
    <w:bookmarkEnd w:id="75"/>
    <w:bookmarkStart w:id="77" w:name="ref-cantalupo2019"/>
    <w:p>
      <w:pPr>
        <w:pStyle w:val="Bibliography"/>
      </w:pPr>
      <w:r>
        <w:t xml:space="preserve">Cantalupo PG, Pipas JM.</w:t>
      </w:r>
      <w:r>
        <w:t xml:space="preserve"> </w:t>
      </w:r>
      <w:hyperlink r:id="rId76">
        <w:r>
          <w:rPr>
            <w:rStyle w:val="Hyperlink"/>
          </w:rPr>
          <w:t xml:space="preserve">Detecting viral sequences in</w:t>
        </w:r>
        <w:r>
          <w:rPr>
            <w:rStyle w:val="Hyperlink"/>
          </w:rPr>
          <w:t xml:space="preserve"> </w:t>
        </w:r>
        <w:r>
          <w:rPr>
            <w:rStyle w:val="Hyperlink"/>
          </w:rPr>
          <w:t xml:space="preserve">NGS</w:t>
        </w:r>
        <w:r>
          <w:rPr>
            <w:rStyle w:val="Hyperlink"/>
          </w:rPr>
          <w:t xml:space="preserve"> </w:t>
        </w:r>
        <w:r>
          <w:rPr>
            <w:rStyle w:val="Hyperlink"/>
          </w:rPr>
          <w:t xml:space="preserve">data</w:t>
        </w:r>
      </w:hyperlink>
      <w:r>
        <w:t xml:space="preserve">. Current Opinion in Virology. 2019;39:41–8</w:t>
      </w:r>
    </w:p>
    <w:bookmarkEnd w:id="77"/>
    <w:bookmarkStart w:id="79" w:name="ref-chen2018"/>
    <w:p>
      <w:pPr>
        <w:pStyle w:val="Bibliography"/>
      </w:pPr>
      <w:r>
        <w:t xml:space="preserve">Chen S, Zhou Y, Chen Y, Gu J.</w:t>
      </w:r>
      <w:r>
        <w:t xml:space="preserve"> </w:t>
      </w:r>
      <w:hyperlink r:id="rId78">
        <w:r>
          <w:rPr>
            <w:rStyle w:val="Hyperlink"/>
          </w:rPr>
          <w:t xml:space="preserve">Fastp: An ultra-fast all-in-one</w:t>
        </w:r>
        <w:r>
          <w:rPr>
            <w:rStyle w:val="Hyperlink"/>
          </w:rPr>
          <w:t xml:space="preserve"> </w:t>
        </w:r>
        <w:r>
          <w:rPr>
            <w:rStyle w:val="Hyperlink"/>
          </w:rPr>
          <w:t xml:space="preserve">FASTQ</w:t>
        </w:r>
        <w:r>
          <w:rPr>
            <w:rStyle w:val="Hyperlink"/>
          </w:rPr>
          <w:t xml:space="preserve"> </w:t>
        </w:r>
        <w:r>
          <w:rPr>
            <w:rStyle w:val="Hyperlink"/>
          </w:rPr>
          <w:t xml:space="preserve">preprocessor</w:t>
        </w:r>
      </w:hyperlink>
      <w:r>
        <w:t xml:space="preserve">. Bioinformatics. 2018;34(17):i884–90</w:t>
      </w:r>
    </w:p>
    <w:bookmarkEnd w:id="79"/>
    <w:bookmarkStart w:id="81" w:name="ref-chikhi2024"/>
    <w:p>
      <w:pPr>
        <w:pStyle w:val="Bibliography"/>
      </w:pPr>
      <w:r>
        <w:t xml:space="preserve">Chikhi R, Raffestin B, Korobeynikov A, Edgar R, Babaian A.</w:t>
      </w:r>
      <w:r>
        <w:t xml:space="preserve"> </w:t>
      </w:r>
      <w:hyperlink r:id="rId80">
        <w:r>
          <w:rPr>
            <w:rStyle w:val="Hyperlink"/>
          </w:rPr>
          <w:t xml:space="preserve">Logan: Planetary-scale genome assembly surveys life’s diversity</w:t>
        </w:r>
      </w:hyperlink>
      <w:r>
        <w:t xml:space="preserve">. bioRxiv. 2024;</w:t>
      </w:r>
    </w:p>
    <w:bookmarkEnd w:id="81"/>
    <w:bookmarkStart w:id="83" w:name="ref-danecek2021"/>
    <w:p>
      <w:pPr>
        <w:pStyle w:val="Bibliography"/>
      </w:pPr>
      <w:r>
        <w:t xml:space="preserve">Danecek P, Bonfield JK, Liddle J, Marshall J, Ohan V, Pollard MO, et al.</w:t>
      </w:r>
      <w:r>
        <w:t xml:space="preserve"> </w:t>
      </w:r>
      <w:hyperlink r:id="rId82">
        <w:r>
          <w:rPr>
            <w:rStyle w:val="Hyperlink"/>
          </w:rPr>
          <w:t xml:space="preserve">Twelve years of</w:t>
        </w:r>
        <w:r>
          <w:rPr>
            <w:rStyle w:val="Hyperlink"/>
          </w:rPr>
          <w:t xml:space="preserve"> </w:t>
        </w:r>
        <w:r>
          <w:rPr>
            <w:rStyle w:val="Hyperlink"/>
          </w:rPr>
          <w:t xml:space="preserve">SAMtools</w:t>
        </w:r>
        <w:r>
          <w:rPr>
            <w:rStyle w:val="Hyperlink"/>
          </w:rPr>
          <w:t xml:space="preserve"> </w:t>
        </w:r>
        <w:r>
          <w:rPr>
            <w:rStyle w:val="Hyperlink"/>
          </w:rPr>
          <w:t xml:space="preserve">and</w:t>
        </w:r>
        <w:r>
          <w:rPr>
            <w:rStyle w:val="Hyperlink"/>
          </w:rPr>
          <w:t xml:space="preserve"> </w:t>
        </w:r>
        <w:r>
          <w:rPr>
            <w:rStyle w:val="Hyperlink"/>
          </w:rPr>
          <w:t xml:space="preserve">BCFtools</w:t>
        </w:r>
      </w:hyperlink>
      <w:r>
        <w:t xml:space="preserve">. GigaScience. 2021;10(2):giab008</w:t>
      </w:r>
    </w:p>
    <w:bookmarkEnd w:id="83"/>
    <w:bookmarkStart w:id="85" w:name="ref-devitt2019"/>
    <w:p>
      <w:pPr>
        <w:pStyle w:val="Bibliography"/>
      </w:pPr>
      <w:r>
        <w:t xml:space="preserve">Devitt K, Hanson SJ, Tuong ZK, McMeniman E, Soyer HP, Frazer IH, et al.</w:t>
      </w:r>
      <w:r>
        <w:t xml:space="preserve"> </w:t>
      </w:r>
      <w:hyperlink r:id="rId84">
        <w:r>
          <w:rPr>
            <w:rStyle w:val="Hyperlink"/>
          </w:rPr>
          <w:t xml:space="preserve">Single-cell</w:t>
        </w:r>
        <w:r>
          <w:rPr>
            <w:rStyle w:val="Hyperlink"/>
          </w:rPr>
          <w:t xml:space="preserve"> </w:t>
        </w:r>
        <w:r>
          <w:rPr>
            <w:rStyle w:val="Hyperlink"/>
          </w:rPr>
          <w:t xml:space="preserve">RNA</w:t>
        </w:r>
        <w:r>
          <w:rPr>
            <w:rStyle w:val="Hyperlink"/>
          </w:rPr>
          <w:t xml:space="preserve"> </w:t>
        </w:r>
        <w:r>
          <w:rPr>
            <w:rStyle w:val="Hyperlink"/>
          </w:rPr>
          <w:t xml:space="preserve">sequencing reveals cell type-specific</w:t>
        </w:r>
        <w:r>
          <w:rPr>
            <w:rStyle w:val="Hyperlink"/>
          </w:rPr>
          <w:t xml:space="preserve"> </w:t>
        </w:r>
        <w:r>
          <w:rPr>
            <w:rStyle w:val="Hyperlink"/>
          </w:rPr>
          <w:t xml:space="preserve">HPV</w:t>
        </w:r>
        <w:r>
          <w:rPr>
            <w:rStyle w:val="Hyperlink"/>
          </w:rPr>
          <w:t xml:space="preserve"> </w:t>
        </w:r>
        <w:r>
          <w:rPr>
            <w:rStyle w:val="Hyperlink"/>
          </w:rPr>
          <w:t xml:space="preserve">expression in hyperplastic skin lesions</w:t>
        </w:r>
      </w:hyperlink>
      <w:r>
        <w:t xml:space="preserve">. Virology. 2019;537:14–9</w:t>
      </w:r>
    </w:p>
    <w:bookmarkEnd w:id="85"/>
    <w:bookmarkStart w:id="87" w:name="ref-ditommaso2017"/>
    <w:p>
      <w:pPr>
        <w:pStyle w:val="Bibliography"/>
      </w:pPr>
      <w:r>
        <w:t xml:space="preserve">Di Tommaso P, Chatzou M, Floden EW, Prieto Barja P, Palumbo E, Notredame C.</w:t>
      </w:r>
      <w:r>
        <w:t xml:space="preserve"> </w:t>
      </w:r>
      <w:hyperlink r:id="rId86">
        <w:r>
          <w:rPr>
            <w:rStyle w:val="Hyperlink"/>
          </w:rPr>
          <w:t xml:space="preserve">Nextflow enables reproducible computational workflows</w:t>
        </w:r>
      </w:hyperlink>
      <w:r>
        <w:t xml:space="preserve">. Nature Biotechnology. 2017;35(4):316–9</w:t>
      </w:r>
    </w:p>
    <w:bookmarkEnd w:id="87"/>
    <w:bookmarkStart w:id="89" w:name="ref-dobin2013"/>
    <w:p>
      <w:pPr>
        <w:pStyle w:val="Bibliography"/>
      </w:pPr>
      <w:r>
        <w:t xml:space="preserve">Dobin A, Davis CA, Schlesinger F, Drenkow J, Zaleski C, Jha S, et al.</w:t>
      </w:r>
      <w:r>
        <w:t xml:space="preserve"> </w:t>
      </w:r>
      <w:hyperlink r:id="rId88">
        <w:r>
          <w:rPr>
            <w:rStyle w:val="Hyperlink"/>
          </w:rPr>
          <w:t xml:space="preserve">STAR</w:t>
        </w:r>
        <w:r>
          <w:rPr>
            <w:rStyle w:val="Hyperlink"/>
          </w:rPr>
          <w:t xml:space="preserve">: Ultrafast universal</w:t>
        </w:r>
        <w:r>
          <w:rPr>
            <w:rStyle w:val="Hyperlink"/>
          </w:rPr>
          <w:t xml:space="preserve"> </w:t>
        </w:r>
        <w:r>
          <w:rPr>
            <w:rStyle w:val="Hyperlink"/>
          </w:rPr>
          <w:t xml:space="preserve">RNA-seq</w:t>
        </w:r>
        <w:r>
          <w:rPr>
            <w:rStyle w:val="Hyperlink"/>
          </w:rPr>
          <w:t xml:space="preserve"> </w:t>
        </w:r>
        <w:r>
          <w:rPr>
            <w:rStyle w:val="Hyperlink"/>
          </w:rPr>
          <w:t xml:space="preserve">aligner</w:t>
        </w:r>
      </w:hyperlink>
      <w:r>
        <w:t xml:space="preserve">. Bioinformatics. 2013;29(1):15–21</w:t>
      </w:r>
    </w:p>
    <w:bookmarkEnd w:id="89"/>
    <w:bookmarkStart w:id="90" w:name="ref-doorbar2023"/>
    <w:p>
      <w:pPr>
        <w:pStyle w:val="Bibliography"/>
      </w:pPr>
      <w:r>
        <w:t xml:space="preserve">Doorbar J. The human papillomavirus twilight zone: Latency, immune control and subclinical infection. Tumour Virus Research. 2023;16:200268</w:t>
      </w:r>
    </w:p>
    <w:bookmarkEnd w:id="90"/>
    <w:bookmarkStart w:id="91" w:name="ref-doorbar2012"/>
    <w:p>
      <w:pPr>
        <w:pStyle w:val="Bibliography"/>
      </w:pPr>
      <w:r>
        <w:t xml:space="preserve">Doorbar J, Quint W, Banks L, Bravo IG, Stoler M, Broker TR, et al. The biology and life-cycle of human papillomaviruses. Vaccine. 2012;30(Suppl 5):F55–70</w:t>
      </w:r>
    </w:p>
    <w:bookmarkEnd w:id="91"/>
    <w:bookmarkStart w:id="92" w:name="ref-dorfer2021"/>
    <w:p>
      <w:pPr>
        <w:pStyle w:val="Bibliography"/>
      </w:pPr>
      <w:r>
        <w:t xml:space="preserve">Dorfer S, Strasser K, Schröckenfuchs G, Bonelli M, Bauer W, Kittler H, et al.</w:t>
      </w:r>
      <w:r>
        <w:t xml:space="preserve"> </w:t>
      </w:r>
      <w:r>
        <w:t xml:space="preserve">MmuPV1</w:t>
      </w:r>
      <w:r>
        <w:t xml:space="preserve"> </w:t>
      </w:r>
      <w:r>
        <w:t xml:space="preserve">is a key driver of skin cancer development upon immunosuppression. American Journal of Transplantation. 2021;21(2):525–39</w:t>
      </w:r>
    </w:p>
    <w:bookmarkEnd w:id="92"/>
    <w:bookmarkStart w:id="94" w:name="ref-edgar2022"/>
    <w:p>
      <w:pPr>
        <w:pStyle w:val="Bibliography"/>
      </w:pPr>
      <w:r>
        <w:t xml:space="preserve">Edgar RC, Taylor B, Lin V, Altman T, Barbera P, Meleshko D, et al.</w:t>
      </w:r>
      <w:r>
        <w:t xml:space="preserve"> </w:t>
      </w:r>
      <w:hyperlink r:id="rId93">
        <w:r>
          <w:rPr>
            <w:rStyle w:val="Hyperlink"/>
          </w:rPr>
          <w:t xml:space="preserve">Petabase-scale sequence alignment catalyses viral discovery</w:t>
        </w:r>
      </w:hyperlink>
      <w:r>
        <w:t xml:space="preserve">. Nature. 2022;602:142–7</w:t>
      </w:r>
    </w:p>
    <w:bookmarkEnd w:id="94"/>
    <w:bookmarkStart w:id="96" w:name="ref-fujimoto2019"/>
    <w:p>
      <w:pPr>
        <w:pStyle w:val="Bibliography"/>
      </w:pPr>
      <w:r>
        <w:t xml:space="preserve">Fujimoto M, Matsuzaki I, Takahashi Y, Iwahashi Y, Warigaya K, Kojima F, et al.</w:t>
      </w:r>
      <w:r>
        <w:t xml:space="preserve"> </w:t>
      </w:r>
      <w:hyperlink r:id="rId95">
        <w:r>
          <w:rPr>
            <w:rStyle w:val="Hyperlink"/>
          </w:rPr>
          <w:t xml:space="preserve">High-risk human papillomavirus</w:t>
        </w:r>
        <w:r>
          <w:rPr>
            <w:rStyle w:val="Hyperlink"/>
          </w:rPr>
          <w:t xml:space="preserve"> </w:t>
        </w:r>
        <w:r>
          <w:rPr>
            <w:rStyle w:val="Hyperlink"/>
          </w:rPr>
          <w:t xml:space="preserve">E6/E7</w:t>
        </w:r>
        <w:r>
          <w:rPr>
            <w:rStyle w:val="Hyperlink"/>
          </w:rPr>
          <w:t xml:space="preserve"> </w:t>
        </w:r>
        <w:r>
          <w:rPr>
            <w:rStyle w:val="Hyperlink"/>
          </w:rPr>
          <w:t xml:space="preserve">mRNA</w:t>
        </w:r>
        <w:r>
          <w:rPr>
            <w:rStyle w:val="Hyperlink"/>
          </w:rPr>
          <w:t xml:space="preserve"> </w:t>
        </w:r>
        <w:r>
          <w:rPr>
            <w:rStyle w:val="Hyperlink"/>
          </w:rPr>
          <w:t xml:space="preserve">is rarely detected in nonanogenital cutaneous squamous cell carcinoma: An</w:t>
        </w:r>
        <w:r>
          <w:rPr>
            <w:rStyle w:val="Hyperlink"/>
          </w:rPr>
          <w:t xml:space="preserve"> </w:t>
        </w:r>
        <w:r>
          <w:rPr>
            <w:rStyle w:val="Hyperlink"/>
          </w:rPr>
          <w:t xml:space="preserve">RNA</w:t>
        </w:r>
        <w:r>
          <w:rPr>
            <w:rStyle w:val="Hyperlink"/>
          </w:rPr>
          <w:t xml:space="preserve"> </w:t>
        </w:r>
        <w:r>
          <w:rPr>
            <w:rStyle w:val="Hyperlink"/>
          </w:rPr>
          <w:t xml:space="preserve">in situ hybridization-based tissue microarray study</w:t>
        </w:r>
      </w:hyperlink>
      <w:r>
        <w:t xml:space="preserve">. The American Journal of Dermatopathology. 2019;41(3):205–10</w:t>
      </w:r>
    </w:p>
    <w:bookmarkEnd w:id="96"/>
    <w:bookmarkStart w:id="98" w:name="ref-gihawi2023"/>
    <w:p>
      <w:pPr>
        <w:pStyle w:val="Bibliography"/>
      </w:pPr>
      <w:r>
        <w:t xml:space="preserve">Gihawi A, Ge Y, Lu J, Puiu D, Xu A, Cooper CS, et al.</w:t>
      </w:r>
      <w:r>
        <w:t xml:space="preserve"> </w:t>
      </w:r>
      <w:hyperlink r:id="rId97">
        <w:r>
          <w:rPr>
            <w:rStyle w:val="Hyperlink"/>
          </w:rPr>
          <w:t xml:space="preserve">Major data analysis errors invalidate cancer microbiome findings</w:t>
        </w:r>
      </w:hyperlink>
      <w:r>
        <w:t xml:space="preserve">. mBio. 2023;14(5):e0160723</w:t>
      </w:r>
    </w:p>
    <w:bookmarkEnd w:id="98"/>
    <w:bookmarkStart w:id="100" w:name="ref-rstanarm"/>
    <w:p>
      <w:pPr>
        <w:pStyle w:val="Bibliography"/>
      </w:pPr>
      <w:r>
        <w:t xml:space="preserve">Goodrich B, Gabry J, Ali I, Brilleman S.</w:t>
      </w:r>
      <w:r>
        <w:t xml:space="preserve"> </w:t>
      </w:r>
      <w:r>
        <w:t xml:space="preserve">rstanarm</w:t>
      </w:r>
      <w:r>
        <w:t xml:space="preserve">:</w:t>
      </w:r>
      <w:r>
        <w:t xml:space="preserve"> </w:t>
      </w:r>
      <w:r>
        <w:t xml:space="preserve">Bayesian</w:t>
      </w:r>
      <w:r>
        <w:t xml:space="preserve"> </w:t>
      </w:r>
      <w:r>
        <w:t xml:space="preserve">applied regression modeling via</w:t>
      </w:r>
      <w:r>
        <w:t xml:space="preserve"> </w:t>
      </w:r>
      <w:r>
        <w:t xml:space="preserve">Stan</w:t>
      </w:r>
      <w:r>
        <w:t xml:space="preserve"> </w:t>
      </w:r>
      <w:r>
        <w:t xml:space="preserve">[Internet]. 2024. Available from:</w:t>
      </w:r>
      <w:r>
        <w:t xml:space="preserve"> </w:t>
      </w:r>
      <w:hyperlink r:id="rId99">
        <w:r>
          <w:rPr>
            <w:rStyle w:val="Hyperlink"/>
          </w:rPr>
          <w:t xml:space="preserve">https://mc-stan.org/rstanarm/</w:t>
        </w:r>
      </w:hyperlink>
    </w:p>
    <w:bookmarkEnd w:id="100"/>
    <w:bookmarkStart w:id="101" w:name="ref-howley2015"/>
    <w:p>
      <w:pPr>
        <w:pStyle w:val="Bibliography"/>
      </w:pPr>
      <w:r>
        <w:t xml:space="preserve">Howley PM, Pfister HJ. Beta genus papillomaviruses and skin cancer. Virology. 2015;479-480:290–6</w:t>
      </w:r>
    </w:p>
    <w:bookmarkEnd w:id="101"/>
    <w:bookmarkStart w:id="103" w:name="ref-hultin2019"/>
    <w:p>
      <w:pPr>
        <w:pStyle w:val="Bibliography"/>
      </w:pPr>
      <w:r>
        <w:t xml:space="preserve">Hultin E, Arroyo Mühr LS, Lagheden C, Dillner J.</w:t>
      </w:r>
      <w:r>
        <w:t xml:space="preserve"> </w:t>
      </w:r>
      <w:hyperlink r:id="rId102">
        <w:r>
          <w:rPr>
            <w:rStyle w:val="Hyperlink"/>
          </w:rPr>
          <w:t xml:space="preserve">HPV</w:t>
        </w:r>
        <w:r>
          <w:rPr>
            <w:rStyle w:val="Hyperlink"/>
          </w:rPr>
          <w:t xml:space="preserve"> </w:t>
        </w:r>
        <w:r>
          <w:rPr>
            <w:rStyle w:val="Hyperlink"/>
          </w:rPr>
          <w:t xml:space="preserve">transcription in skin tumors</w:t>
        </w:r>
      </w:hyperlink>
      <w:r>
        <w:t xml:space="preserve">. PLOS ONE. 2019;14(5):e0217942</w:t>
      </w:r>
    </w:p>
    <w:bookmarkEnd w:id="103"/>
    <w:bookmarkStart w:id="105" w:name="ref-kazemian2015"/>
    <w:p>
      <w:pPr>
        <w:pStyle w:val="Bibliography"/>
      </w:pPr>
      <w:r>
        <w:t xml:space="preserve">Kazemian M, Ren M, Lin J-X, Liao W, Spolski R, Leonard WJ.</w:t>
      </w:r>
      <w:r>
        <w:t xml:space="preserve"> </w:t>
      </w:r>
      <w:hyperlink r:id="rId104">
        <w:r>
          <w:rPr>
            <w:rStyle w:val="Hyperlink"/>
          </w:rPr>
          <w:t xml:space="preserve">Possible human papillomavirus 38 contamination of endometrial cancer</w:t>
        </w:r>
        <w:r>
          <w:rPr>
            <w:rStyle w:val="Hyperlink"/>
          </w:rPr>
          <w:t xml:space="preserve"> </w:t>
        </w:r>
        <w:r>
          <w:rPr>
            <w:rStyle w:val="Hyperlink"/>
          </w:rPr>
          <w:t xml:space="preserve">RNA-sequencing</w:t>
        </w:r>
        <w:r>
          <w:rPr>
            <w:rStyle w:val="Hyperlink"/>
          </w:rPr>
          <w:t xml:space="preserve"> </w:t>
        </w:r>
        <w:r>
          <w:rPr>
            <w:rStyle w:val="Hyperlink"/>
          </w:rPr>
          <w:t xml:space="preserve">samples in</w:t>
        </w:r>
        <w:r>
          <w:rPr>
            <w:rStyle w:val="Hyperlink"/>
          </w:rPr>
          <w:t xml:space="preserve"> </w:t>
        </w:r>
        <w:r>
          <w:rPr>
            <w:rStyle w:val="Hyperlink"/>
          </w:rPr>
          <w:t xml:space="preserve">TCGA</w:t>
        </w:r>
      </w:hyperlink>
      <w:r>
        <w:t xml:space="preserve">. Journal of Virology. 2015;89(17):8967–73</w:t>
      </w:r>
    </w:p>
    <w:bookmarkEnd w:id="105"/>
    <w:bookmarkStart w:id="107" w:name="ref-lambert2021"/>
    <w:p>
      <w:pPr>
        <w:pStyle w:val="Bibliography"/>
      </w:pPr>
      <w:r>
        <w:t xml:space="preserve">Lambert PF, Münger K, Rösl F, Hasche D, Tommasino M.</w:t>
      </w:r>
      <w:r>
        <w:t xml:space="preserve"> </w:t>
      </w:r>
      <w:hyperlink r:id="rId106">
        <w:r>
          <w:rPr>
            <w:rStyle w:val="Hyperlink"/>
          </w:rPr>
          <w:t xml:space="preserve">Beta human papillomaviruses and skin cancer</w:t>
        </w:r>
      </w:hyperlink>
      <w:r>
        <w:t xml:space="preserve">. Nature. 2021;588(7838):E20–1</w:t>
      </w:r>
    </w:p>
    <w:bookmarkEnd w:id="107"/>
    <w:bookmarkStart w:id="109" w:name="ref-leiendecker2023"/>
    <w:p>
      <w:pPr>
        <w:pStyle w:val="Bibliography"/>
      </w:pPr>
      <w:r>
        <w:t xml:space="preserve">Leiendecker L, Neumann T, Jung PS, Cronin SM, Steinacker TL, Schleiffer A, et al.</w:t>
      </w:r>
      <w:r>
        <w:t xml:space="preserve"> </w:t>
      </w:r>
      <w:hyperlink r:id="rId108">
        <w:r>
          <w:rPr>
            <w:rStyle w:val="Hyperlink"/>
          </w:rPr>
          <w:t xml:space="preserve">Human papillomavirus 42 drives digital papillary adenocarcinoma and elicits a germ cell-like program conserved in</w:t>
        </w:r>
        <w:r>
          <w:rPr>
            <w:rStyle w:val="Hyperlink"/>
          </w:rPr>
          <w:t xml:space="preserve"> </w:t>
        </w:r>
        <w:r>
          <w:rPr>
            <w:rStyle w:val="Hyperlink"/>
          </w:rPr>
          <w:t xml:space="preserve">HPV</w:t>
        </w:r>
        <w:r>
          <w:rPr>
            <w:rStyle w:val="Hyperlink"/>
          </w:rPr>
          <w:t xml:space="preserve">-positive cancers</w:t>
        </w:r>
      </w:hyperlink>
      <w:r>
        <w:t xml:space="preserve">. Cancer Discovery. 2023;13(1):70–84</w:t>
      </w:r>
    </w:p>
    <w:bookmarkEnd w:id="109"/>
    <w:bookmarkStart w:id="111" w:name="ref-leinonen2011"/>
    <w:p>
      <w:pPr>
        <w:pStyle w:val="Bibliography"/>
      </w:pPr>
      <w:r>
        <w:t xml:space="preserve">Leinonen R, Sugawara H, Shumway M.</w:t>
      </w:r>
      <w:r>
        <w:t xml:space="preserve"> </w:t>
      </w:r>
      <w:hyperlink r:id="rId110">
        <w:r>
          <w:rPr>
            <w:rStyle w:val="Hyperlink"/>
          </w:rPr>
          <w:t xml:space="preserve">The</w:t>
        </w:r>
        <w:r>
          <w:rPr>
            <w:rStyle w:val="Hyperlink"/>
          </w:rPr>
          <w:t xml:space="preserve"> </w:t>
        </w:r>
        <w:r>
          <w:rPr>
            <w:rStyle w:val="Hyperlink"/>
          </w:rPr>
          <w:t xml:space="preserve">Sequence Read Archive</w:t>
        </w:r>
      </w:hyperlink>
      <w:r>
        <w:t xml:space="preserve">. Nucleic Acids Research. 2011;39(Database issue):D19–21</w:t>
      </w:r>
    </w:p>
    <w:bookmarkEnd w:id="111"/>
    <w:bookmarkStart w:id="113" w:name="ref-liao2014"/>
    <w:p>
      <w:pPr>
        <w:pStyle w:val="Bibliography"/>
      </w:pPr>
      <w:r>
        <w:t xml:space="preserve">Liao Y, Smyth GK, Shi W.</w:t>
      </w:r>
      <w:r>
        <w:t xml:space="preserve"> </w:t>
      </w:r>
      <w:hyperlink r:id="rId112">
        <w:r>
          <w:rPr>
            <w:rStyle w:val="Hyperlink"/>
          </w:rPr>
          <w:t xml:space="preserve">featureCounts: An efficient general purpose program for assigning sequence reads to genomic features</w:t>
        </w:r>
      </w:hyperlink>
      <w:r>
        <w:t xml:space="preserve">. Bioinformatics. 2014;30(7):923–30</w:t>
      </w:r>
    </w:p>
    <w:bookmarkEnd w:id="113"/>
    <w:bookmarkStart w:id="115" w:name="ref-ma2014"/>
    <w:p>
      <w:pPr>
        <w:pStyle w:val="Bibliography"/>
      </w:pPr>
      <w:r>
        <w:t xml:space="preserve">Ma Y, Madupu R, Karaoz U, Nossa CW, Yang L, Yooseph S, et al.</w:t>
      </w:r>
      <w:r>
        <w:t xml:space="preserve"> </w:t>
      </w:r>
      <w:hyperlink r:id="rId114">
        <w:r>
          <w:rPr>
            <w:rStyle w:val="Hyperlink"/>
          </w:rPr>
          <w:t xml:space="preserve">Human papillomavirus community in healthy persons, defined by metagenomics analysis of human microbiome project shotgun sequencing data sets</w:t>
        </w:r>
      </w:hyperlink>
      <w:r>
        <w:t xml:space="preserve">. Journal of Virology. 2014;88(9):4786–97</w:t>
      </w:r>
    </w:p>
    <w:bookmarkEnd w:id="115"/>
    <w:bookmarkStart w:id="117" w:name="ref-morgan2024"/>
    <w:p>
      <w:pPr>
        <w:pStyle w:val="Bibliography"/>
      </w:pPr>
      <w:r>
        <w:t xml:space="preserve">Morgan HJ, Olivero C, Shorning BY, Gibbs A, Phillips AL, Ananthan L, et al.</w:t>
      </w:r>
      <w:r>
        <w:t xml:space="preserve"> </w:t>
      </w:r>
      <w:hyperlink r:id="rId116">
        <w:r>
          <w:rPr>
            <w:rStyle w:val="Hyperlink"/>
          </w:rPr>
          <w:t xml:space="preserve">HPV8</w:t>
        </w:r>
        <w:r>
          <w:rPr>
            <w:rStyle w:val="Hyperlink"/>
          </w:rPr>
          <w:t xml:space="preserve">-induced</w:t>
        </w:r>
        <w:r>
          <w:rPr>
            <w:rStyle w:val="Hyperlink"/>
          </w:rPr>
          <w:t xml:space="preserve"> </w:t>
        </w:r>
        <w:r>
          <w:rPr>
            <w:rStyle w:val="Hyperlink"/>
          </w:rPr>
          <w:t xml:space="preserve">STAT3</w:t>
        </w:r>
        <w:r>
          <w:rPr>
            <w:rStyle w:val="Hyperlink"/>
          </w:rPr>
          <w:t xml:space="preserve"> </w:t>
        </w:r>
        <w:r>
          <w:rPr>
            <w:rStyle w:val="Hyperlink"/>
          </w:rPr>
          <w:t xml:space="preserve">activation led keratinocyte stem cell expansion in human actinic keratoses</w:t>
        </w:r>
      </w:hyperlink>
      <w:r>
        <w:t xml:space="preserve">. JCI Insight. 2024;9(15):e177898</w:t>
      </w:r>
    </w:p>
    <w:bookmarkEnd w:id="117"/>
    <w:bookmarkStart w:id="119" w:name="ref-oh2026"/>
    <w:p>
      <w:pPr>
        <w:pStyle w:val="Bibliography"/>
      </w:pPr>
      <w:r>
        <w:t xml:space="preserve">Oh CC, Tan GS, Ng JWK, Lim TKH, Cheo FF, Tang PY, et al.</w:t>
      </w:r>
      <w:r>
        <w:t xml:space="preserve"> </w:t>
      </w:r>
      <w:hyperlink r:id="rId118">
        <w:r>
          <w:rPr>
            <w:rStyle w:val="Hyperlink"/>
          </w:rPr>
          <w:t xml:space="preserve">Human papillomavirus diversity in asian individuals with cutaneous squamous cell carcinoma</w:t>
        </w:r>
      </w:hyperlink>
      <w:r>
        <w:t xml:space="preserve">. JAMA Dermatology. 2026;162(5):509–14</w:t>
      </w:r>
    </w:p>
    <w:bookmarkEnd w:id="119"/>
    <w:bookmarkStart w:id="121" w:name="ref-purdie2005"/>
    <w:p>
      <w:pPr>
        <w:pStyle w:val="Bibliography"/>
      </w:pPr>
      <w:r>
        <w:t xml:space="preserve">Purdie KJ, Surentheran T, Sterling JC, Bell L, McGregor JM, Proby CM, et al.</w:t>
      </w:r>
      <w:r>
        <w:t xml:space="preserve"> </w:t>
      </w:r>
      <w:hyperlink r:id="rId120">
        <w:r>
          <w:rPr>
            <w:rStyle w:val="Hyperlink"/>
          </w:rPr>
          <w:t xml:space="preserve">Human papillomavirus gene expression in cutaneous squamous cell carcinomas from immunosuppressed and immunocompetent individuals</w:t>
        </w:r>
      </w:hyperlink>
      <w:r>
        <w:t xml:space="preserve">. Journal of Investigative Dermatology. 2005;125(1):98–107</w:t>
      </w:r>
    </w:p>
    <w:bookmarkEnd w:id="121"/>
    <w:bookmarkStart w:id="123" w:name="ref-rehm2022"/>
    <w:p>
      <w:pPr>
        <w:pStyle w:val="Bibliography"/>
      </w:pPr>
      <w:r>
        <w:t xml:space="preserve">Rehm TM, Straub E, Iftner T, Stubenrauch F.</w:t>
      </w:r>
      <w:r>
        <w:t xml:space="preserve"> </w:t>
      </w:r>
      <w:hyperlink r:id="rId122">
        <w:r>
          <w:rPr>
            <w:rStyle w:val="Hyperlink"/>
          </w:rPr>
          <w:t xml:space="preserve">Restriction of viral gene expression and replication prevents immortalization of human keratinocytes by a beta-human papillomavirus</w:t>
        </w:r>
      </w:hyperlink>
      <w:r>
        <w:t xml:space="preserve">. Proceedings of the National Academy of Sciences. 2022;119(11):e2118930119</w:t>
      </w:r>
    </w:p>
    <w:bookmarkEnd w:id="123"/>
    <w:bookmarkStart w:id="125" w:name="ref-rollison2021"/>
    <w:p>
      <w:pPr>
        <w:pStyle w:val="Bibliography"/>
      </w:pPr>
      <w:r>
        <w:t xml:space="preserve">Rollison DE, Amorrortu RP, Zhao Y, Messina JL, Schell MJ, Fenske NA, et al.</w:t>
      </w:r>
      <w:r>
        <w:t xml:space="preserve"> </w:t>
      </w:r>
      <w:hyperlink r:id="rId124">
        <w:r>
          <w:rPr>
            <w:rStyle w:val="Hyperlink"/>
          </w:rPr>
          <w:t xml:space="preserve">Cutaneous human papillomaviruses and the risk of keratinocyte carcinomas</w:t>
        </w:r>
      </w:hyperlink>
      <w:r>
        <w:t xml:space="preserve">. Cancer Research. 2021;81(17):4628–38</w:t>
      </w:r>
    </w:p>
    <w:bookmarkEnd w:id="125"/>
    <w:bookmarkStart w:id="127" w:name="ref-rollison2019sites"/>
    <w:p>
      <w:pPr>
        <w:pStyle w:val="Bibliography"/>
      </w:pPr>
      <w:r>
        <w:t xml:space="preserve">Rollison DE, Schell MJ, Fenske NA, Cherpelis B, Messina JL, Giuliano AR, et al.</w:t>
      </w:r>
      <w:r>
        <w:t xml:space="preserve"> </w:t>
      </w:r>
      <w:hyperlink r:id="rId126">
        <w:r>
          <w:rPr>
            <w:rStyle w:val="Hyperlink"/>
          </w:rPr>
          <w:t xml:space="preserve">Cutaneous viral infections across 2 anatomic sites among a cohort of patients undergoing skin cancer screening</w:t>
        </w:r>
      </w:hyperlink>
      <w:r>
        <w:t xml:space="preserve">. The Journal of Infectious Diseases. 2019 a;219(5):711–22</w:t>
      </w:r>
    </w:p>
    <w:bookmarkEnd w:id="127"/>
    <w:bookmarkStart w:id="129" w:name="ref-rollison2019"/>
    <w:p>
      <w:pPr>
        <w:pStyle w:val="Bibliography"/>
      </w:pPr>
      <w:r>
        <w:t xml:space="preserve">Rollison DE, Viarisio D, Amorrortu RP, Gheit T, Tommasino M.</w:t>
      </w:r>
      <w:r>
        <w:t xml:space="preserve"> </w:t>
      </w:r>
      <w:hyperlink r:id="rId128">
        <w:r>
          <w:rPr>
            <w:rStyle w:val="Hyperlink"/>
          </w:rPr>
          <w:t xml:space="preserve">An emerging issue in oncogenic virology: The role of beta human papillomavirus types in the development of cutaneous squamous cell carcinoma</w:t>
        </w:r>
      </w:hyperlink>
      <w:r>
        <w:t xml:space="preserve">. Journal of Virology. 2019 b;93(7):e01003–18</w:t>
      </w:r>
    </w:p>
    <w:bookmarkEnd w:id="129"/>
    <w:bookmarkStart w:id="131" w:name="ref-saeidian2023"/>
    <w:p>
      <w:pPr>
        <w:pStyle w:val="Bibliography"/>
      </w:pPr>
      <w:r>
        <w:t xml:space="preserve">Saeidian AH, Youssefian L, Naji M, Mahmoudi H, Barnada SM, Huang C, et al.</w:t>
      </w:r>
      <w:r>
        <w:t xml:space="preserve"> </w:t>
      </w:r>
      <w:hyperlink r:id="rId130">
        <w:r>
          <w:rPr>
            <w:rStyle w:val="Hyperlink"/>
          </w:rPr>
          <w:t xml:space="preserve">Whole transcriptome–based skin virome profiling in typical epidermodysplasia verruciformis reveals</w:t>
        </w:r>
        <w:r>
          <w:rPr>
            <w:rStyle w:val="Hyperlink"/>
          </w:rPr>
          <w:t xml:space="preserve"> </w:t>
        </w:r>
        <m:oMath>
          <m:r>
            <m:t>α</m:t>
          </m:r>
        </m:oMath>
        <w:r>
          <w:rPr>
            <w:rStyle w:val="Hyperlink"/>
          </w:rPr>
          <w:t xml:space="preserve">-,</w:t>
        </w:r>
        <w:r>
          <w:rPr>
            <w:rStyle w:val="Hyperlink"/>
          </w:rPr>
          <w:t xml:space="preserve"> </w:t>
        </w:r>
        <m:oMath>
          <m:r>
            <m:t>β</m:t>
          </m:r>
        </m:oMath>
        <w:r>
          <w:rPr>
            <w:rStyle w:val="Hyperlink"/>
          </w:rPr>
          <w:t xml:space="preserve">-, and</w:t>
        </w:r>
        <w:r>
          <w:rPr>
            <w:rStyle w:val="Hyperlink"/>
          </w:rPr>
          <w:t xml:space="preserve"> </w:t>
        </w:r>
        <m:oMath>
          <m:r>
            <m:t>γ</m:t>
          </m:r>
        </m:oMath>
        <w:r>
          <w:rPr>
            <w:rStyle w:val="Hyperlink"/>
          </w:rPr>
          <w:t xml:space="preserve">-</w:t>
        </w:r>
        <w:r>
          <w:rPr>
            <w:rStyle w:val="Hyperlink"/>
          </w:rPr>
          <w:t xml:space="preserve">HPV</w:t>
        </w:r>
        <w:r>
          <w:rPr>
            <w:rStyle w:val="Hyperlink"/>
          </w:rPr>
          <w:t xml:space="preserve"> </w:t>
        </w:r>
        <w:r>
          <w:rPr>
            <w:rStyle w:val="Hyperlink"/>
          </w:rPr>
          <w:t xml:space="preserve">infections</w:t>
        </w:r>
      </w:hyperlink>
      <w:r>
        <w:t xml:space="preserve">. JCI Insight. 2023;8(5):e162558</w:t>
      </w:r>
    </w:p>
    <w:bookmarkEnd w:id="131"/>
    <w:bookmarkStart w:id="133" w:name="ref-selitsky2020"/>
    <w:p>
      <w:pPr>
        <w:pStyle w:val="Bibliography"/>
      </w:pPr>
      <w:r>
        <w:t xml:space="preserve">Selitsky SR, Marron D, Hollern D, Mose LE, Hoadley KA, Jones C, et al.</w:t>
      </w:r>
      <w:r>
        <w:t xml:space="preserve"> </w:t>
      </w:r>
      <w:hyperlink r:id="rId132">
        <w:r>
          <w:rPr>
            <w:rStyle w:val="Hyperlink"/>
          </w:rPr>
          <w:t xml:space="preserve">Virus expression detection reveals</w:t>
        </w:r>
        <w:r>
          <w:rPr>
            <w:rStyle w:val="Hyperlink"/>
          </w:rPr>
          <w:t xml:space="preserve"> </w:t>
        </w:r>
        <w:r>
          <w:rPr>
            <w:rStyle w:val="Hyperlink"/>
          </w:rPr>
          <w:t xml:space="preserve">RNA</w:t>
        </w:r>
        <w:r>
          <w:rPr>
            <w:rStyle w:val="Hyperlink"/>
          </w:rPr>
          <w:t xml:space="preserve">-sequencing contamination in</w:t>
        </w:r>
        <w:r>
          <w:rPr>
            <w:rStyle w:val="Hyperlink"/>
          </w:rPr>
          <w:t xml:space="preserve"> </w:t>
        </w:r>
        <w:r>
          <w:rPr>
            <w:rStyle w:val="Hyperlink"/>
          </w:rPr>
          <w:t xml:space="preserve">TCGA</w:t>
        </w:r>
      </w:hyperlink>
      <w:r>
        <w:t xml:space="preserve">. BMC Genomics. 2020;21(1):79</w:t>
      </w:r>
    </w:p>
    <w:bookmarkEnd w:id="133"/>
    <w:bookmarkStart w:id="135" w:name="ref-shenpv2026"/>
    <w:p>
      <w:pPr>
        <w:pStyle w:val="Bibliography"/>
      </w:pPr>
      <w:r>
        <w:t xml:space="preserve">Shen JYQ, Chikhi R, Korobeynikov A, Babaian A.</w:t>
      </w:r>
      <w:r>
        <w:t xml:space="preserve"> </w:t>
      </w:r>
      <w:hyperlink r:id="rId134">
        <w:r>
          <w:rPr>
            <w:rStyle w:val="Hyperlink"/>
          </w:rPr>
          <w:t xml:space="preserve">Petabase-scale papillomavirus discovery</w:t>
        </w:r>
      </w:hyperlink>
      <w:r>
        <w:t xml:space="preserve">. bioRxiv. 2026;</w:t>
      </w:r>
    </w:p>
    <w:bookmarkEnd w:id="135"/>
    <w:bookmarkStart w:id="137" w:name="ref-shen2016"/>
    <w:p>
      <w:pPr>
        <w:pStyle w:val="Bibliography"/>
      </w:pPr>
      <w:r>
        <w:t xml:space="preserve">Shen W, Le S, Li Y, Hu F.</w:t>
      </w:r>
      <w:r>
        <w:t xml:space="preserve"> </w:t>
      </w:r>
      <w:hyperlink r:id="rId136">
        <w:r>
          <w:rPr>
            <w:rStyle w:val="Hyperlink"/>
          </w:rPr>
          <w:t xml:space="preserve">SeqKit</w:t>
        </w:r>
        <w:r>
          <w:rPr>
            <w:rStyle w:val="Hyperlink"/>
          </w:rPr>
          <w:t xml:space="preserve">: A cross-platform and ultrafast toolkit for</w:t>
        </w:r>
        <w:r>
          <w:rPr>
            <w:rStyle w:val="Hyperlink"/>
          </w:rPr>
          <w:t xml:space="preserve"> </w:t>
        </w:r>
        <w:r>
          <w:rPr>
            <w:rStyle w:val="Hyperlink"/>
          </w:rPr>
          <w:t xml:space="preserve">FASTA/Q</w:t>
        </w:r>
        <w:r>
          <w:rPr>
            <w:rStyle w:val="Hyperlink"/>
          </w:rPr>
          <w:t xml:space="preserve"> </w:t>
        </w:r>
        <w:r>
          <w:rPr>
            <w:rStyle w:val="Hyperlink"/>
          </w:rPr>
          <w:t xml:space="preserve">file manipulation</w:t>
        </w:r>
      </w:hyperlink>
      <w:r>
        <w:t xml:space="preserve">. PLoS ONE. 2016;11(10):e0163962</w:t>
      </w:r>
    </w:p>
    <w:bookmarkEnd w:id="137"/>
    <w:bookmarkStart w:id="139" w:name="ref-son2025"/>
    <w:p>
      <w:pPr>
        <w:pStyle w:val="Bibliography"/>
      </w:pPr>
      <w:r>
        <w:t xml:space="preserve">Son HG, Ha DT, Xia Y, Li T, Blandin J, Oka T, et al.</w:t>
      </w:r>
      <w:r>
        <w:t xml:space="preserve"> </w:t>
      </w:r>
      <w:hyperlink r:id="rId138">
        <w:r>
          <w:rPr>
            <w:rStyle w:val="Hyperlink"/>
          </w:rPr>
          <w:t xml:space="preserve">Commensal papillomavirus immunity preserves the homeostasis of highly mutated normal skin</w:t>
        </w:r>
      </w:hyperlink>
      <w:r>
        <w:t xml:space="preserve">. Cancer Cell. 2025;43(1):36–48.e10</w:t>
      </w:r>
    </w:p>
    <w:bookmarkEnd w:id="139"/>
    <w:bookmarkStart w:id="141" w:name="ref-strickley2019"/>
    <w:p>
      <w:pPr>
        <w:pStyle w:val="Bibliography"/>
      </w:pPr>
      <w:r>
        <w:t xml:space="preserve">Strickley JD, Messerschmidt JL, Awad ME, Li T, Hasegawa T, Ha DT, et al.</w:t>
      </w:r>
      <w:r>
        <w:t xml:space="preserve"> </w:t>
      </w:r>
      <w:hyperlink r:id="rId140">
        <w:r>
          <w:rPr>
            <w:rStyle w:val="Hyperlink"/>
          </w:rPr>
          <w:t xml:space="preserve">Immunity to commensal papillomaviruses protects against skin cancer</w:t>
        </w:r>
      </w:hyperlink>
      <w:r>
        <w:t xml:space="preserve">. Nature. 2019;575(7783):519–22</w:t>
      </w:r>
    </w:p>
    <w:bookmarkEnd w:id="141"/>
    <w:bookmarkStart w:id="143" w:name="ref-strickley2021"/>
    <w:p>
      <w:pPr>
        <w:pStyle w:val="Bibliography"/>
      </w:pPr>
      <w:r>
        <w:t xml:space="preserve">Strickley JD, Messerschmidt JL, Jenson AB, Joh J, Demehri S.</w:t>
      </w:r>
      <w:r>
        <w:t xml:space="preserve"> </w:t>
      </w:r>
      <w:hyperlink r:id="rId142">
        <w:r>
          <w:rPr>
            <w:rStyle w:val="Hyperlink"/>
          </w:rPr>
          <w:t xml:space="preserve">Reply to: Beta human papillomaviruses and skin cancer</w:t>
        </w:r>
      </w:hyperlink>
      <w:r>
        <w:t xml:space="preserve">. Nature. 2021;588(7838):E22–3</w:t>
      </w:r>
    </w:p>
    <w:bookmarkEnd w:id="143"/>
    <w:bookmarkStart w:id="145" w:name="ref-vandoorslaer2017"/>
    <w:p>
      <w:pPr>
        <w:pStyle w:val="Bibliography"/>
      </w:pPr>
      <w:r>
        <w:t xml:space="preserve">Van Doorslaer K, Li Z, Xirasagar S, Maes P, Kaminsky D, Liou D, et al.</w:t>
      </w:r>
      <w:r>
        <w:t xml:space="preserve"> </w:t>
      </w:r>
      <w:hyperlink r:id="rId144">
        <w:r>
          <w:rPr>
            <w:rStyle w:val="Hyperlink"/>
          </w:rPr>
          <w:t xml:space="preserve">The</w:t>
        </w:r>
        <w:r>
          <w:rPr>
            <w:rStyle w:val="Hyperlink"/>
          </w:rPr>
          <w:t xml:space="preserve"> </w:t>
        </w:r>
        <w:r>
          <w:rPr>
            <w:rStyle w:val="Hyperlink"/>
          </w:rPr>
          <w:t xml:space="preserve">Papillomavirus Episteme</w:t>
        </w:r>
        <w:r>
          <w:rPr>
            <w:rStyle w:val="Hyperlink"/>
          </w:rPr>
          <w:t xml:space="preserve">: A major update to the papillomavirus sequence database</w:t>
        </w:r>
      </w:hyperlink>
      <w:r>
        <w:t xml:space="preserve">. Nucleic Acids Research. 2017;45(D1):D499–506</w:t>
      </w:r>
    </w:p>
    <w:bookmarkEnd w:id="145"/>
    <w:bookmarkStart w:id="147" w:name="ref-vandiver2021"/>
    <w:p>
      <w:pPr>
        <w:pStyle w:val="Bibliography"/>
      </w:pPr>
      <w:r>
        <w:t xml:space="preserve">Vandiver AR, Thomas BJ, Karimzada M, Knowles BC, Botten GA, Spreafico R, et al.</w:t>
      </w:r>
      <w:r>
        <w:t xml:space="preserve"> </w:t>
      </w:r>
      <w:hyperlink r:id="rId146">
        <w:r>
          <w:rPr>
            <w:rStyle w:val="Hyperlink"/>
          </w:rPr>
          <w:t xml:space="preserve">Detection of viral gene expression in risk-stratified biopsies reveals no active</w:t>
        </w:r>
        <w:r>
          <w:rPr>
            <w:rStyle w:val="Hyperlink"/>
          </w:rPr>
          <w:t xml:space="preserve"> </w:t>
        </w:r>
        <w:r>
          <w:rPr>
            <w:rStyle w:val="Hyperlink"/>
          </w:rPr>
          <w:t xml:space="preserve">HPV</w:t>
        </w:r>
        <w:r>
          <w:rPr>
            <w:rStyle w:val="Hyperlink"/>
          </w:rPr>
          <w:t xml:space="preserve"> </w:t>
        </w:r>
        <w:r>
          <w:rPr>
            <w:rStyle w:val="Hyperlink"/>
          </w:rPr>
          <w:t xml:space="preserve">in cutaneous squamous cell carcinoma</w:t>
        </w:r>
      </w:hyperlink>
      <w:r>
        <w:t xml:space="preserve">. Experimental Dermatology. 2021;30(11):1711–6</w:t>
      </w:r>
    </w:p>
    <w:bookmarkEnd w:id="147"/>
    <w:bookmarkStart w:id="149" w:name="ref-viarisio2018"/>
    <w:p>
      <w:pPr>
        <w:pStyle w:val="Bibliography"/>
      </w:pPr>
      <w:r>
        <w:t xml:space="preserve">Viarisio D, Müller-Decker K, Accardi R, Robitaille A, Dürst M, Beer K, et al.</w:t>
      </w:r>
      <w:r>
        <w:t xml:space="preserve"> </w:t>
      </w:r>
      <w:hyperlink r:id="rId148">
        <w:r>
          <w:rPr>
            <w:rStyle w:val="Hyperlink"/>
          </w:rPr>
          <w:t xml:space="preserve">Beta</w:t>
        </w:r>
        <w:r>
          <w:rPr>
            <w:rStyle w:val="Hyperlink"/>
          </w:rPr>
          <w:t xml:space="preserve"> </w:t>
        </w:r>
        <w:r>
          <w:rPr>
            <w:rStyle w:val="Hyperlink"/>
          </w:rPr>
          <w:t xml:space="preserve">HPV38</w:t>
        </w:r>
        <w:r>
          <w:rPr>
            <w:rStyle w:val="Hyperlink"/>
          </w:rPr>
          <w:t xml:space="preserve"> </w:t>
        </w:r>
        <w:r>
          <w:rPr>
            <w:rStyle w:val="Hyperlink"/>
          </w:rPr>
          <w:t xml:space="preserve">oncoproteins act with a hit-and-run mechanism in ultraviolet radiation-induced skin carcinogenesis in mice</w:t>
        </w:r>
      </w:hyperlink>
      <w:r>
        <w:t xml:space="preserve">. PLoS Pathogens. 2018;14(1):e1006783</w:t>
      </w:r>
    </w:p>
    <w:bookmarkEnd w:id="149"/>
    <w:bookmarkStart w:id="151" w:name="ref-weissenborn2012"/>
    <w:p>
      <w:pPr>
        <w:pStyle w:val="Bibliography"/>
      </w:pPr>
      <w:r>
        <w:t xml:space="preserve">Weissenborn S, Neale RE, Waterboer T, Abeni D, Bouwes Bavinck JN, Green AC, et al.</w:t>
      </w:r>
      <w:r>
        <w:t xml:space="preserve"> </w:t>
      </w:r>
      <w:hyperlink r:id="rId150">
        <w:r>
          <w:rPr>
            <w:rStyle w:val="Hyperlink"/>
          </w:rPr>
          <w:t xml:space="preserve">Beta-papillomavirus</w:t>
        </w:r>
        <w:r>
          <w:rPr>
            <w:rStyle w:val="Hyperlink"/>
          </w:rPr>
          <w:t xml:space="preserve"> </w:t>
        </w:r>
        <w:r>
          <w:rPr>
            <w:rStyle w:val="Hyperlink"/>
          </w:rPr>
          <w:t xml:space="preserve">DNA</w:t>
        </w:r>
        <w:r>
          <w:rPr>
            <w:rStyle w:val="Hyperlink"/>
          </w:rPr>
          <w:t xml:space="preserve"> </w:t>
        </w:r>
        <w:r>
          <w:rPr>
            <w:rStyle w:val="Hyperlink"/>
          </w:rPr>
          <w:t xml:space="preserve">loads in hair follicles of immunocompetent people and organ transplant recipients</w:t>
        </w:r>
      </w:hyperlink>
      <w:r>
        <w:t xml:space="preserve">. Medical Microbiology and Immunology. 2012;201(2):117–25</w:t>
      </w:r>
    </w:p>
    <w:bookmarkEnd w:id="151"/>
    <w:bookmarkStart w:id="153" w:name="ref-wenande2025"/>
    <w:p>
      <w:pPr>
        <w:pStyle w:val="Bibliography"/>
      </w:pPr>
      <w:r>
        <w:t xml:space="preserve">Wenande E, Hastrup A, Wiegell S, Philipsen PA, Thomsen NB, Demehri S, et al.</w:t>
      </w:r>
      <w:r>
        <w:t xml:space="preserve"> </w:t>
      </w:r>
      <w:hyperlink r:id="rId152">
        <w:r>
          <w:rPr>
            <w:rStyle w:val="Hyperlink"/>
          </w:rPr>
          <w:t xml:space="preserve">Human papillomavirus vaccination and actinic keratosis burden: The</w:t>
        </w:r>
        <w:r>
          <w:rPr>
            <w:rStyle w:val="Hyperlink"/>
          </w:rPr>
          <w:t xml:space="preserve"> </w:t>
        </w:r>
        <w:r>
          <w:rPr>
            <w:rStyle w:val="Hyperlink"/>
          </w:rPr>
          <w:t xml:space="preserve">VAXAK</w:t>
        </w:r>
        <w:r>
          <w:rPr>
            <w:rStyle w:val="Hyperlink"/>
          </w:rPr>
          <w:t xml:space="preserve"> </w:t>
        </w:r>
        <w:r>
          <w:rPr>
            <w:rStyle w:val="Hyperlink"/>
          </w:rPr>
          <w:t xml:space="preserve">randomized clinical trial</w:t>
        </w:r>
      </w:hyperlink>
      <w:r>
        <w:t xml:space="preserve">. JAMA Dermatology. 2025;161(6):605–14</w:t>
      </w:r>
    </w:p>
    <w:bookmarkEnd w:id="153"/>
    <w:bookmarkStart w:id="155" w:name="ref-wood2019"/>
    <w:p>
      <w:pPr>
        <w:pStyle w:val="Bibliography"/>
      </w:pPr>
      <w:r>
        <w:t xml:space="preserve">Wood DE, Lu J, Langmead B.</w:t>
      </w:r>
      <w:r>
        <w:t xml:space="preserve"> </w:t>
      </w:r>
      <w:hyperlink r:id="rId154">
        <w:r>
          <w:rPr>
            <w:rStyle w:val="Hyperlink"/>
          </w:rPr>
          <w:t xml:space="preserve">Improved metagenomic analysis with</w:t>
        </w:r>
        <w:r>
          <w:rPr>
            <w:rStyle w:val="Hyperlink"/>
          </w:rPr>
          <w:t xml:space="preserve"> </w:t>
        </w:r>
        <w:r>
          <w:rPr>
            <w:rStyle w:val="Hyperlink"/>
          </w:rPr>
          <w:t xml:space="preserve">Kraken 2</w:t>
        </w:r>
      </w:hyperlink>
      <w:r>
        <w:t xml:space="preserve">. Genome Biology. 2019;20:257</w:t>
      </w:r>
    </w:p>
    <w:bookmarkEnd w:id="155"/>
    <w:bookmarkStart w:id="157" w:name="ref-you2004"/>
    <w:p>
      <w:pPr>
        <w:pStyle w:val="Bibliography"/>
      </w:pPr>
      <w:r>
        <w:t xml:space="preserve">You J, Croyle JL, Nishimura A, Ozato K, Howley PM.</w:t>
      </w:r>
      <w:r>
        <w:t xml:space="preserve"> </w:t>
      </w:r>
      <w:hyperlink r:id="rId156">
        <w:r>
          <w:rPr>
            <w:rStyle w:val="Hyperlink"/>
          </w:rPr>
          <w:t xml:space="preserve">Interaction of the bovine papillomavirus</w:t>
        </w:r>
        <w:r>
          <w:rPr>
            <w:rStyle w:val="Hyperlink"/>
          </w:rPr>
          <w:t xml:space="preserve"> </w:t>
        </w:r>
        <w:r>
          <w:rPr>
            <w:rStyle w:val="Hyperlink"/>
          </w:rPr>
          <w:t xml:space="preserve">E2</w:t>
        </w:r>
        <w:r>
          <w:rPr>
            <w:rStyle w:val="Hyperlink"/>
          </w:rPr>
          <w:t xml:space="preserve"> </w:t>
        </w:r>
        <w:r>
          <w:rPr>
            <w:rStyle w:val="Hyperlink"/>
          </w:rPr>
          <w:t xml:space="preserve">protein with</w:t>
        </w:r>
        <w:r>
          <w:rPr>
            <w:rStyle w:val="Hyperlink"/>
          </w:rPr>
          <w:t xml:space="preserve"> </w:t>
        </w:r>
        <w:r>
          <w:rPr>
            <w:rStyle w:val="Hyperlink"/>
          </w:rPr>
          <w:t xml:space="preserve">Brd4</w:t>
        </w:r>
        <w:r>
          <w:rPr>
            <w:rStyle w:val="Hyperlink"/>
          </w:rPr>
          <w:t xml:space="preserve"> </w:t>
        </w:r>
        <w:r>
          <w:rPr>
            <w:rStyle w:val="Hyperlink"/>
          </w:rPr>
          <w:t xml:space="preserve">tethers the viral</w:t>
        </w:r>
        <w:r>
          <w:rPr>
            <w:rStyle w:val="Hyperlink"/>
          </w:rPr>
          <w:t xml:space="preserve"> </w:t>
        </w:r>
        <w:r>
          <w:rPr>
            <w:rStyle w:val="Hyperlink"/>
          </w:rPr>
          <w:t xml:space="preserve">DNA</w:t>
        </w:r>
        <w:r>
          <w:rPr>
            <w:rStyle w:val="Hyperlink"/>
          </w:rPr>
          <w:t xml:space="preserve"> </w:t>
        </w:r>
        <w:r>
          <w:rPr>
            <w:rStyle w:val="Hyperlink"/>
          </w:rPr>
          <w:t xml:space="preserve">to host mitotic chromosomes</w:t>
        </w:r>
      </w:hyperlink>
      <w:r>
        <w:t xml:space="preserve">. Cell. 2004;117(3):349–60</w:t>
      </w:r>
    </w:p>
    <w:bookmarkEnd w:id="157"/>
    <w:bookmarkEnd w:id="158"/>
    <w:bookmarkEnd w:id="159"/>
    <w:bookmarkStart w:id="205" w:name="supplementary-material"/>
    <w:p>
      <w:pPr>
        <w:pStyle w:val="Heading1"/>
      </w:pPr>
      <w:r>
        <w:t xml:space="preserve">Supplementary Material</w:t>
      </w:r>
    </w:p>
    <w:bookmarkStart w:id="160" w:name="supplementary-materials-and-methods"/>
    <w:p>
      <w:pPr>
        <w:pStyle w:val="Heading2"/>
      </w:pPr>
      <w:r>
        <w:t xml:space="preserve">Supplementary Materials and Methods</w:t>
      </w:r>
    </w:p>
    <w:bookmarkEnd w:id="160"/>
    <w:bookmarkStart w:id="174" w:name="methods"/>
    <w:p>
      <w:pPr>
        <w:pStyle w:val="Heading2"/>
      </w:pPr>
      <w:r>
        <w:t xml:space="preserve">Methods</w:t>
      </w:r>
    </w:p>
    <w:bookmarkStart w:id="161"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61"/>
    <w:bookmarkStart w:id="162"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et al.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62"/>
    <w:bookmarkStart w:id="163"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63"/>
    <w:bookmarkStart w:id="164"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et al.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10,834 screened libraries (5th percentile 85.5%), the small shortfall being fastp quality and length filtering, and the per-group medians span 95.8% to 99.5%, so no sample group was read less completely than another.</w:t>
      </w:r>
    </w:p>
    <w:bookmarkEnd w:id="164"/>
    <w:bookmarkStart w:id="165"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65"/>
    <w:bookmarkStart w:id="166"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66"/>
    <w:bookmarkStart w:id="167"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et al.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67"/>
    <w:bookmarkStart w:id="168"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et al.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68"/>
    <w:bookmarkStart w:id="169"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sample groups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Three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group,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(iii)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16 of 11,282 screened libraries.</w:t>
      </w:r>
    </w:p>
    <w:p>
      <w:pPr>
        <w:pStyle w:val="BodyText"/>
      </w:pPr>
      <w:r>
        <w:t xml:space="preserve">Two further sets of libraries were excluded outright rather than regrouped, because neither a null nor a control describes them. First, 433 16S rRNA amplicon libraries: an amplicon library carries no HPV sequence that could be detected whatever the infection status, so these are structural zeros rather than negative observations, and leaving them in would deflate the background rate every comparison is measured against. Second,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which are the matched adjacent tissue of five condyloma acuminatum donors, each sequenced as an RNA-seq library plus a MeRIP input and IP fraction. Tissue taken millimeters from a productive lesion cannot separate independent infection from spillover out of that lesion, so a detection there is not evidence of virus in the absence of disease, and five donors in three fractions each is one comparison rather than a population. Their lesions are retained in</w:t>
      </w:r>
      <w:r>
        <w:t xml:space="preserve"> </w:t>
      </w:r>
      <w:r>
        <w:rPr>
          <w:rStyle w:val="VerbatimChar"/>
        </w:rPr>
        <w:t xml:space="preserve">control_productive</w:t>
      </w:r>
      <w:r>
        <w:t xml:space="preserve">, so neither the productive contrast nor the detection floor calibrated on it is affected. The analyzed cohort is therefore 10,834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group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group difference was not an artifact of depth, the fraction of libraries at or above the detection floor was additionally computed within matched total-read bins (&lt;5M, 5–10M, 10–20M, 20–40M, &gt;40M). The same per-sample table also yielded an HPV-type × sample-group catalog. This analysis pooled the lesion cohorts against the prevalence-sweep null and used the curated cell-line flags. Logistic-regression models (positivity by sample class; productive-level detection by sample group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69"/>
    <w:bookmarkStart w:id="170"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74.6%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6,736 of 10,834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70"/>
    <w:bookmarkStart w:id="171"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groups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group</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71"/>
    <w:bookmarkStart w:id="172" w:name="X100e545f3d9e395267e0fa4a0c685cbdafc7ff0"/>
    <w:p>
      <w:pPr>
        <w:pStyle w:val="Heading3"/>
      </w:pPr>
      <w:r>
        <w:t xml:space="preserve">Independent DNA reservoir from public metagenomes</w:t>
      </w:r>
    </w:p>
    <w:p>
      <w:pPr>
        <w:pStyle w:val="FirstParagraph"/>
      </w:pPr>
      <w:r>
        <w:t xml:space="preserve">The presence axis against which the transcriptional result is read comes from a published petabase-scale papillomavirus catalog rather than from our own pipeline. Shen et al. screened the Logan assembly of 27 million archived sequencing libraries</w:t>
      </w:r>
      <w:r>
        <w:t xml:space="preserve"> </w:t>
      </w:r>
      <w:r>
        <w:t xml:space="preserve">(Chikhi et al. 2024)</w:t>
      </w:r>
      <w:r>
        <w:t xml:space="preserve"> </w:t>
      </w:r>
      <w:r>
        <w:t xml:space="preserve">for papillomavirus contigs by profile-HMM detection of the conserved L1 B and I domains and clustered them into operational types</w:t>
      </w:r>
      <w:r>
        <w:t xml:space="preserve"> </w:t>
      </w:r>
      <w:r>
        <w:t xml:space="preserve">(Shen et al. 2026)</w:t>
      </w:r>
      <w:r>
        <w:t xml:space="preserve">; we re-tabulated their released cluster-by-library table by body site. Libraries were bucketed by the BioSample organism field into skin (</w:t>
      </w:r>
      <w:r>
        <w:rPr>
          <w:rStyle w:val="VerbatimChar"/>
        </w:rPr>
        <w:t xml:space="preserve">human skin metagenome</w:t>
      </w:r>
      <w:r>
        <w:t xml:space="preserve">,</w:t>
      </w:r>
      <w:r>
        <w:t xml:space="preserve"> </w:t>
      </w:r>
      <w:r>
        <w:rPr>
          <w:rStyle w:val="VerbatimChar"/>
        </w:rPr>
        <w:t xml:space="preserve">skin metagenome</w:t>
      </w:r>
      <w:r>
        <w:t xml:space="preserve">), vaginal and gut metagenomes. The skin taxon also carries environmental transit surfaces and non-human animal skin, which were removed with a curated run exclusion list built from BioSample attributes (</w:t>
      </w:r>
      <w:r>
        <w:rPr>
          <w:rStyle w:val="VerbatimChar"/>
        </w:rPr>
        <w:t xml:space="preserve">bin/build_skin_run_exclusions.py</w:t>
      </w:r>
      <w:r>
        <w:t xml:space="preserve">). Each contig cluster was mapped to an HPV type through the study’s own taxonomy demarcation table and then to a genus through the same type-to-genus map used for our RNA catalogs, so the two modalities are labeled identically; a cluster with a papillomavirus identity that resolves to no genus is reported as</w:t>
      </w:r>
      <w:r>
        <w:t xml:space="preserve"> </w:t>
      </w:r>
      <w:r>
        <w:rPr>
          <w:i/>
          <w:iCs/>
        </w:rPr>
        <w:t xml:space="preserve">Unresolved</w:t>
      </w:r>
      <w:r>
        <w:t xml:space="preserve"> </w:t>
      </w:r>
      <w:r>
        <w:t xml:space="preserve">and one with no reference match as</w:t>
      </w:r>
      <w:r>
        <w:t xml:space="preserve"> </w:t>
      </w:r>
      <w:r>
        <w:rPr>
          <w:i/>
          <w:iCs/>
        </w:rPr>
        <w:t xml:space="preserve">Novel</w:t>
      </w:r>
      <w:r>
        <w:t xml:space="preserve">.</w:t>
      </w:r>
    </w:p>
    <w:p>
      <w:pPr>
        <w:pStyle w:val="BodyText"/>
      </w:pPr>
      <w:r>
        <w:t xml:space="preserve">All quantities from this catalog are compositions conditional on positivity: the denominator is the HPV-positive libraries of a body site, and a library carrying types of two genera contributes to both, so genus proportions within a site do not sum to one. No prevalence is computed from the catalog, since a defensible denominator would require the screened-library count per body site to be reconstructed under the same freeze applied to the numerator. The type-level comparison against our own data joins the reservoir types onto both RNA catalogs, the assigned catalog (</w:t>
      </w:r>
      <w:hyperlink w:anchor="supptbl-types">
        <w:r>
          <w:rPr>
            <w:rStyle w:val="Hyperlink"/>
          </w:rPr>
          <w:t xml:space="preserve">Table S1</w:t>
        </w:r>
      </w:hyperlink>
      <w:r>
        <w:t xml:space="preserve">) and the trace catalog (</w:t>
      </w:r>
      <w:hyperlink w:anchor="supptbl-trace">
        <w:r>
          <w:rPr>
            <w:rStyle w:val="Hyperlink"/>
          </w:rPr>
          <w:t xml:space="preserve">Table S6</w:t>
        </w:r>
      </w:hyperlink>
      <w:r>
        <w:t xml:space="preserve">, at least five best-hit reads, MAPQ ≥ 20, and a majority of the library’s primary alignments on that reference), so that a type below the assignment threshold in skin RNA is reported as a trace detection and never as an absence. This tabulation is implemented in</w:t>
      </w:r>
      <w:r>
        <w:t xml:space="preserve"> </w:t>
      </w:r>
      <w:r>
        <w:rPr>
          <w:rStyle w:val="VerbatimChar"/>
        </w:rPr>
        <w:t xml:space="preserve">dna_rna_triangulation/shen_reservoir_by_tissue.R</w:t>
      </w:r>
      <w:r>
        <w:t xml:space="preserve"> </w:t>
      </w:r>
      <w:r>
        <w:t xml:space="preserve">and</w:t>
      </w:r>
      <w:r>
        <w:t xml:space="preserve"> </w:t>
      </w:r>
      <w:r>
        <w:rPr>
          <w:rStyle w:val="VerbatimChar"/>
        </w:rPr>
        <w:t xml:space="preserve">dna_rna_triangulation/skin_dna_vs_rna_corrected.R</w:t>
      </w:r>
      <w:r>
        <w:t xml:space="preserve">, and</w:t>
      </w:r>
      <w:r>
        <w:t xml:space="preserve"> </w:t>
      </w:r>
      <w:hyperlink w:anchor="fig-reservoir">
        <w:r>
          <w:rPr>
            <w:rStyle w:val="Hyperlink"/>
          </w:rPr>
          <w:t xml:space="preserve">Figure 5</w:t>
        </w:r>
      </w:hyperlink>
      <w:r>
        <w:t xml:space="preserve"> </w:t>
      </w:r>
      <w:r>
        <w:t xml:space="preserve">is built from their outputs by</w:t>
      </w:r>
      <w:r>
        <w:t xml:space="preserve"> </w:t>
      </w:r>
      <w:r>
        <w:rPr>
          <w:rStyle w:val="VerbatimChar"/>
        </w:rPr>
        <w:t xml:space="preserve">manuscript/figure_reservoir.R</w:t>
      </w:r>
      <w:r>
        <w:t xml:space="preserve">.</w:t>
      </w:r>
    </w:p>
    <w:bookmarkEnd w:id="172"/>
    <w:bookmarkStart w:id="17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173"/>
    <w:bookmarkEnd w:id="174"/>
    <w:bookmarkStart w:id="202" w:name="supplementary-figures-and-tables"/>
    <w:p>
      <w:pPr>
        <w:pStyle w:val="Heading2"/>
      </w:pPr>
      <w:r>
        <w:t xml:space="preserve">Supplementary Figures and Tables</w:t>
      </w:r>
    </w:p>
    <w:tbl>
      <w:tblPr>
        <w:tblStyle w:val="Table"/>
        <w:tblW w:type="pct" w:w="5000"/>
        <w:tblLayout w:type="fixed"/>
        <w:tblLook w:firstRow="0" w:lastRow="0" w:firstColumn="0" w:lastColumn="0" w:noHBand="0" w:noVBand="0" w:val="0000"/>
      </w:tblPr>
      <w:tblGrid>
        <w:gridCol w:w="7920"/>
      </w:tblGrid>
      <w:tr>
        <w:tc>
          <w:tcPr/>
          <w:bookmarkStart w:id="178" w:name="suppfig-depth"/>
          <w:p>
            <w:pPr>
              <w:pStyle w:val="Compact"/>
              <w:jc w:val="center"/>
            </w:pPr>
            <w:r>
              <w:drawing>
                <wp:inline>
                  <wp:extent cx="5943600" cy="3714749"/>
                  <wp:effectExtent b="0" l="0" r="0" t="0"/>
                  <wp:docPr descr="" title="" id="176" name="Picture"/>
                  <a:graphic>
                    <a:graphicData uri="http://schemas.openxmlformats.org/drawingml/2006/picture">
                      <pic:pic>
                        <pic:nvPicPr>
                          <pic:cNvPr descr="figureS1.png" id="177" name="Picture"/>
                          <pic:cNvPicPr>
                            <a:picLocks noChangeArrowheads="1" noChangeAspect="1"/>
                          </pic:cNvPicPr>
                        </pic:nvPicPr>
                        <pic:blipFill>
                          <a:blip r:embed="rId175"/>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sample group, the percentage of libraries reaching the control-calibrated detection floor (13.2 RPM) is plotted within five total-read bins (&lt;5M, 5–10M, 10–20M, 20–40M, &gt;40M reads); a group is drawn in a bin only where it has at least three libraries. Productive controls (warts/condyloma) detect at 90–100% in every bin in which they occur, as do the EV biopsies in the deep bins where they fall, whereas cutaneous neoplasia (cSCC/actinic keratosis) and unselected skin stay near zero across all bins, including the deepest. This depth-matched comparison confirms that the group difference in</w:t>
            </w:r>
            <w:r>
              <w:t xml:space="preserve"> </w:t>
            </w:r>
            <w:hyperlink w:anchor="fig-rpm">
              <w:r>
                <w:rPr>
                  <w:rStyle w:val="Hyperlink"/>
                </w:rPr>
                <w:t xml:space="preserve">Figure 2</w:t>
              </w:r>
            </w:hyperlink>
            <w:r>
              <w:t xml:space="preserve"> </w:t>
            </w:r>
            <w:r>
              <w:t xml:space="preserve">is not produced by differences in sequencing depth: the groups that reach the floor do so at every depth, and the groups that do not never reach it, however deeply sequenced. Point size is proportional to the number of libraries in each group × bin.</w:t>
            </w:r>
          </w:p>
          <w:bookmarkEnd w:id="17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2" w:name="suppfig-trace"/>
          <w:p>
            <w:pPr>
              <w:pStyle w:val="Compact"/>
              <w:jc w:val="center"/>
            </w:pPr>
            <w:r>
              <w:drawing>
                <wp:inline>
                  <wp:extent cx="5943600" cy="3302000"/>
                  <wp:effectExtent b="0" l="0" r="0" t="0"/>
                  <wp:docPr descr="" title="" id="180" name="Picture"/>
                  <a:graphic>
                    <a:graphicData uri="http://schemas.openxmlformats.org/drawingml/2006/picture">
                      <pic:pic>
                        <pic:nvPicPr>
                          <pic:cNvPr descr="figureS2.png" id="181" name="Picture"/>
                          <pic:cNvPicPr>
                            <a:picLocks noChangeArrowheads="1" noChangeAspect="1"/>
                          </pic:cNvPicPr>
                        </pic:nvPicPr>
                        <pic:blipFill>
                          <a:blip r:embed="rId179"/>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What the sub-threshold trace is made of. Every HPV-positive library below the control-calibrated detection floor (13.2 RPM) in unselected skin and neoplasia (</w:t>
            </w:r>
            <w:r>
              <w:rPr>
                <w:i/>
                <w:iCs/>
              </w:rPr>
              <w:t xml:space="preserve">n</w:t>
            </w:r>
            <w:r>
              <w:t xml:space="preserve"> </w:t>
            </w:r>
            <w:r>
              <w:t xml:space="preserve">= 230), set against the productive controls (warts and EV,</w:t>
            </w:r>
            <w:r>
              <w:t xml:space="preserve"> </w:t>
            </w:r>
            <w:r>
              <w:rPr>
                <w:i/>
                <w:iCs/>
              </w:rPr>
              <w:t xml:space="preserve">n</w:t>
            </w:r>
            <w:r>
              <w:t xml:space="preserve"> </w:t>
            </w:r>
            <w:r>
              <w:t xml:space="preserve">= 54), split into three exclusive classes from the per-gene read counts the pipeline already writes: libraries with no reads on any HPV gene, libraries with gene-mapped reads that do not reach the productive threshold, and productive libraries (L1 ≥ 3 reads). Cell-line and engineered libraries are excluded throughout. The classes are assigned in that order of precedence, so a library appears in exactly one. The residual sample group with no recorded site is not in the denominator: the claim is about skin and neoplasia. Of the 57 gene-mapped but non-productive trace libraries, 52 carry early-gene reads with the late program absent and 5 carry only L2 reads below the productive bar; the median late-read fraction across the whole trace is 0, against 0.367 in the controls, which is the differentiation-coupled capsid burst the controls are there to show.</w:t>
            </w:r>
          </w:p>
          <w:bookmarkEnd w:id="18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6" w:name="suppfig-types"/>
          <w:p>
            <w:pPr>
              <w:pStyle w:val="Compact"/>
              <w:jc w:val="center"/>
            </w:pPr>
            <w:r>
              <w:drawing>
                <wp:inline>
                  <wp:extent cx="5943600" cy="2993813"/>
                  <wp:effectExtent b="0" l="0" r="0" t="0"/>
                  <wp:docPr descr="" title="" id="184" name="Picture"/>
                  <a:graphic>
                    <a:graphicData uri="http://schemas.openxmlformats.org/drawingml/2006/picture">
                      <pic:pic>
                        <pic:nvPicPr>
                          <pic:cNvPr descr="figureS3.png" id="185" name="Picture"/>
                          <pic:cNvPicPr>
                            <a:picLocks noChangeArrowheads="1" noChangeAspect="1"/>
                          </pic:cNvPicPr>
                        </pic:nvPicPr>
                        <pic:blipFill>
                          <a:blip r:embed="rId183"/>
                          <a:stretch>
                            <a:fillRect/>
                          </a:stretch>
                        </pic:blipFill>
                        <pic:spPr bwMode="auto">
                          <a:xfrm>
                            <a:off x="0" y="0"/>
                            <a:ext cx="5943600" cy="29938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The HPV type landscape, assigned catalog against detection level.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sample groups, with each group’s size on the axis. Fill is the prevalence of that type</w:t>
            </w:r>
            <w:r>
              <w:t xml:space="preserve"> </w:t>
            </w:r>
            <w:r>
              <w:rPr>
                <w:i/>
                <w:iCs/>
              </w:rPr>
              <w:t xml:space="preserve">within</w:t>
            </w:r>
            <w:r>
              <w:t xml:space="preserve"> </w:t>
            </w:r>
            <w:r>
              <w:t xml:space="preserve">that group, as a Beta-Binomial posterior mean under a Beta(0.5, 0.5) prior, the same estimator the tables use; the number printed in each cell is the raw library count. Prevalence rather than count is what the color encodes because group sizes span 10 to 7,800 libraries, so counts are not comparable across rows: three libraries is 23% of the EV group and 0.04% of unselected skin. The scale is log</w:t>
            </w:r>
            <w:r>
              <w:rPr>
                <w:vertAlign w:val="subscript"/>
              </w:rPr>
              <w:t xml:space="preserve">10</w:t>
            </w:r>
            <w:r>
              <w:t xml:space="preserve"> </w:t>
            </w:r>
            <w:r>
              <w:t xml:space="preserve">for the same reason, spanning 0.02% to 91%, and gray marks a type not seen in that group at all. Read that way the two panels say different things. The assigned catalog is concentrated in two rows, productive controls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0" w:name="suppfig-reservoir-gut"/>
          <w:p>
            <w:pPr>
              <w:pStyle w:val="Compact"/>
              <w:jc w:val="center"/>
            </w:pPr>
            <w:r>
              <w:drawing>
                <wp:inline>
                  <wp:extent cx="5943600" cy="4302034"/>
                  <wp:effectExtent b="0" l="0" r="0" t="0"/>
                  <wp:docPr descr="" title="" id="188" name="Picture"/>
                  <a:graphic>
                    <a:graphicData uri="http://schemas.openxmlformats.org/drawingml/2006/picture">
                      <pic:pic>
                        <pic:nvPicPr>
                          <pic:cNvPr descr="figureS4.png" id="189" name="Picture"/>
                          <pic:cNvPicPr>
                            <a:picLocks noChangeArrowheads="1" noChangeAspect="1"/>
                          </pic:cNvPicPr>
                        </pic:nvPicPr>
                        <pic:blipFill>
                          <a:blip r:embed="rId187"/>
                          <a:stretch>
                            <a:fillRect/>
                          </a:stretch>
                        </pic:blipFill>
                        <pic:spPr bwMode="auto">
                          <a:xfrm>
                            <a:off x="0" y="0"/>
                            <a:ext cx="5943600" cy="43020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The DNA reservoir across body sites, the positive control for the composition read-out. Skin (n = 1,735 HPV-positive libraries), vaginal (n = 541) and gut (n = 292) metagenomes tabulated from the same catalog by the same code as</w:t>
            </w:r>
            <w:r>
              <w:t xml:space="preserve"> </w:t>
            </w:r>
            <w:hyperlink w:anchor="fig-reservoir">
              <w:r>
                <w:rPr>
                  <w:rStyle w:val="Hyperlink"/>
                </w:rPr>
                <w:t xml:space="preserve">Figure 5</w:t>
              </w:r>
            </w:hyperlink>
            <w:r>
              <w:t xml:space="preserve">. (</w:t>
            </w:r>
            <w:r>
              <w:rPr>
                <w:b/>
                <w:bCs/>
              </w:rPr>
              <w:t xml:space="preserve">a</w:t>
            </w:r>
            <w:r>
              <w:t xml:space="preserve">) Genus composition of each site’s HPV-positive libraries. A library carrying two types of different genera contributes to both, so the panel is normalized within site and shows the composition of type detections rather than prevalence.</w:t>
            </w:r>
            <w:r>
              <w:t xml:space="preserve"> </w:t>
            </w:r>
            <w:r>
              <w:rPr>
                <w:i/>
                <w:iCs/>
              </w:rPr>
              <w:t xml:space="preserve">Unresolved</w:t>
            </w:r>
            <w:r>
              <w:t xml:space="preserve"> </w:t>
            </w:r>
            <w:r>
              <w:t xml:space="preserve">is a contig assigned a papillomavirus identity that cannot be placed in a genus,</w:t>
            </w:r>
            <w:r>
              <w:t xml:space="preserve"> </w:t>
            </w:r>
            <w:r>
              <w:rPr>
                <w:i/>
                <w:iCs/>
              </w:rPr>
              <w:t xml:space="preserve">Novel</w:t>
            </w:r>
            <w:r>
              <w:t xml:space="preserve"> </w:t>
            </w:r>
            <w:r>
              <w:t xml:space="preserve">a cluster with no reference match. (</w:t>
            </w:r>
            <w:r>
              <w:rPr>
                <w:b/>
                <w:bCs/>
              </w:rPr>
              <w:t xml:space="preserve">b</w:t>
            </w:r>
            <w:r>
              <w:t xml:space="preserve">) The ten most frequent types at each site; the numbers beside the skin bars are that type’s assigned / trace detections among the 7,800 unselected-skin RNA libraries of this study, as in</w:t>
            </w:r>
            <w:r>
              <w:t xml:space="preserve"> </w:t>
            </w:r>
            <w:hyperlink w:anchor="fig-reservoir">
              <w:r>
                <w:rPr>
                  <w:rStyle w:val="Hyperlink"/>
                </w:rPr>
                <w:t xml:space="preserve">Figure 5</w:t>
              </w:r>
            </w:hyperlink>
            <w:r>
              <w:t xml:space="preserve"> </w:t>
            </w:r>
            <w:r>
              <w:t xml:space="preserve">a. This figure is what licenses the skin composition in</w:t>
            </w:r>
            <w:r>
              <w:t xml:space="preserve"> </w:t>
            </w:r>
            <w:hyperlink w:anchor="fig-reservoir">
              <w:r>
                <w:rPr>
                  <w:rStyle w:val="Hyperlink"/>
                </w:rPr>
                <w:t xml:space="preserve">Figure 5</w:t>
              </w:r>
            </w:hyperlink>
            <w:r>
              <w:t xml:space="preserve"> </w:t>
            </w:r>
            <w:r>
              <w:t xml:space="preserve">to be read as biology: the identical procedure applied to vaginal libraries recovers an overwhelmingly alpha mucosal niche, which assembly noise could not produce. Only skin is carried into the main figure, since the paper’s subject is skin. Its composition is a mixture of mucosal alpha (30.5%) and cutaneous beta (34.9%), and its commonest types interleave the two (HPV16, HPV6 and HPV56 with HPV24, HPV124 and HPV37), which is the expected signature of a collection route that crosses perianal skin rather than of papillomavirus carriage in the gut; the same pattern is seen independently in rectal-swab cohorts. Read that way the site is a useful control, since it shows the catalog recovering the genus of whatever epithelium the sampling route touches, and its novel-cluster fraction (9.6%) sits with skin’s (14.5%) rather than with the vaginal site’s (0.2%), as expected if its beta/gamma content is cutaneous in origin.</w:t>
            </w:r>
          </w:p>
          <w:bookmarkEnd w:id="1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4" w:name="suppfig-bayes"/>
          <w:p>
            <w:pPr>
              <w:pStyle w:val="Compact"/>
              <w:jc w:val="center"/>
            </w:pPr>
            <w:r>
              <w:drawing>
                <wp:inline>
                  <wp:extent cx="5943600" cy="2905759"/>
                  <wp:effectExtent b="0" l="0" r="0" t="0"/>
                  <wp:docPr descr="" title="" id="192" name="Picture"/>
                  <a:graphic>
                    <a:graphicData uri="http://schemas.openxmlformats.org/drawingml/2006/picture">
                      <pic:pic>
                        <pic:nvPicPr>
                          <pic:cNvPr descr="figureS5.png" id="193" name="Picture"/>
                          <pic:cNvPicPr>
                            <a:picLocks noChangeArrowheads="1" noChangeAspect="1"/>
                          </pic:cNvPicPr>
                        </pic:nvPicPr>
                        <pic:blipFill>
                          <a:blip r:embed="rId191"/>
                          <a:stretch>
                            <a:fillRect/>
                          </a:stretch>
                        </pic:blipFill>
                        <pic:spPr bwMode="auto">
                          <a:xfrm>
                            <a:off x="0" y="0"/>
                            <a:ext cx="5943600" cy="29057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The Bayesian re-analysis as a forest plot. The same posterior summaries tabulated in</w:t>
            </w:r>
            <w:r>
              <w:t xml:space="preserve"> </w:t>
            </w:r>
            <w:hyperlink w:anchor="supptbl-bayes">
              <w:r>
                <w:rPr>
                  <w:rStyle w:val="Hyperlink"/>
                </w:rPr>
                <w:t xml:space="preserve">Table S3</w:t>
              </w:r>
            </w:hyperlink>
            <w:r>
              <w:t xml:space="preserve">, drawn on a log odds-ratio axis: each point is the posterior median odds ratio and the bar through it the 95% credible interval, with the dashed line at OR = 1 marking no effect. Filled points mark intervals that exclude 1; the two open grey points are the intervals that do not, and both are sequencing-depth terms, so the figure shows directly that deeper sequencing buys no productive-level detection either across sample groups or within neoplasia. P(OR &gt; 1) is the posterior probability of a positive effect, on the same rounding as the text. Contrast labels and their order are those of</w:t>
            </w:r>
            <w:r>
              <w:t xml:space="preserve"> </w:t>
            </w:r>
            <w:hyperlink w:anchor="supptbl-bayes">
              <w:r>
                <w:rPr>
                  <w:rStyle w:val="Hyperlink"/>
                </w:rPr>
                <w:t xml:space="preserve">Table S3</w:t>
              </w:r>
            </w:hyperlink>
            <w:r>
              <w:t xml:space="preserve">; the Student-</w:t>
            </w:r>
            <w:r>
              <w:rPr>
                <w:i/>
                <w:iCs/>
              </w:rPr>
              <w:t xml:space="preserve">t</w:t>
            </w:r>
            <w:r>
              <w:t xml:space="preserve">(3) row is the prior-sensitivity refit of the contrast immediately above it, reported in that table’s caption rather than as a row of its own, and it sits further from 1 rather than nearer, which is what makes the productive-controls gap a finding rather than an artifact of the Normal prior. The axis spans five orders of magnitude because that contrast genuinely does.</w:t>
            </w:r>
          </w:p>
          <w:bookmarkEnd w:id="19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5" w:name="supptbl-types"/>
          <w:tbl>
            <w:tblPr>
              <w:tblStyle w:val="Table"/>
              <w:tblW w:type="pct" w:w="5000"/>
              <w:tblLayout w:type="fixed"/>
              <w:tblLook w:firstRow="1" w:lastRow="0" w:firstColumn="0" w:lastColumn="0" w:noHBand="0" w:noVBand="0" w:val="0020"/>
            </w:tblPr>
            <w:tblGrid>
              <w:gridCol w:w="501"/>
              <w:gridCol w:w="1450"/>
              <w:gridCol w:w="1505"/>
              <w:gridCol w:w="557"/>
              <w:gridCol w:w="1003"/>
              <w:gridCol w:w="1003"/>
              <w:gridCol w:w="1561"/>
              <w:gridCol w:w="334"/>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right"/>
                    <w:jc w:val="center"/>
                  </w:pPr>
                  <w:r>
                    <w:t xml:space="preserve">Site not recorded (N=1,317)</w:t>
                  </w:r>
                </w:p>
              </w:tc>
              <w:tc>
                <w:tcPr/>
                <w:p>
                  <w:pPr>
                    <w:pStyle w:val="Compact"/>
                    <w:jc w:val="left"/>
                    <w:jc w:val="center"/>
                  </w:pPr>
                  <w:r>
                    <w:t xml:space="preserve">Total</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right"/>
                    <w:jc w:val="center"/>
                  </w:pPr>
                  <w:r>
                    <w:t xml:space="preserve">0</w:t>
                  </w:r>
                </w:p>
              </w:tc>
              <w:tc>
                <w:tcPr/>
                <w:p>
                  <w:pPr>
                    <w:pStyle w:val="Compact"/>
                    <w:jc w:val="lef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right"/>
                    <w:jc w:val="center"/>
                  </w:pPr>
                  <w:r>
                    <w:t xml:space="preserve">0</w:t>
                  </w:r>
                </w:p>
              </w:tc>
              <w:tc>
                <w:tcPr/>
                <w:p>
                  <w:pPr>
                    <w:pStyle w:val="Compact"/>
                    <w:jc w:val="left"/>
                    <w:jc w:val="center"/>
                  </w:pPr>
                  <w:r>
                    <w:t xml:space="preserve">28</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 (0.64%)</w:t>
                  </w:r>
                </w:p>
              </w:tc>
              <w:tc>
                <w:tcPr/>
                <w:p>
                  <w:pPr>
                    <w:pStyle w:val="Compact"/>
                    <w:jc w:val="left"/>
                    <w:jc w:val="center"/>
                  </w:pPr>
                  <w:r>
                    <w:t xml:space="preserve">22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10</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9</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(0.49%)</w:t>
                  </w:r>
                </w:p>
              </w:tc>
              <w:tc>
                <w:tcPr/>
                <w:p>
                  <w:pPr>
                    <w:pStyle w:val="Compact"/>
                    <w:jc w:val="left"/>
                    <w:jc w:val="center"/>
                  </w:pPr>
                  <w:r>
                    <w:t xml:space="preserve">9</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S1: Number of libraries assigned to each HPV reference type across sample groups (types with ≥2 assigned libraries shown).</w:t>
            </w:r>
            <w:r>
              <w:t xml:space="preserve"> </w:t>
            </w:r>
            <w:hyperlink w:anchor="suppfig-types">
              <w:r>
                <w:rPr>
                  <w:rStyle w:val="Hyperlink"/>
                </w:rPr>
                <w:t xml:space="preserve">Figure S3</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group, the library count divided by the group size in the column header, estimated as a Beta-Binomial posterior mean under a weakly-informative Beta(0.5, 0.5) prior. Because group sizes span more than two orders of magnitude, raw counts are not comparable across groups: the 14 HPV11 detections in productive controls represent a far higher prevalence than the 24 HPV16 detections in the much larger cell-line group (32% [20–46] versus 3.5% [2.3–5.0];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group by the beta-types that define the syndrome (HPV9, HPV14, HPV20, HPV25, HPV47).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19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6"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9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7"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1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8"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group.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group.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9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9"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Sample group</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sample group, as a percentage of the libraries in each group (group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10,834 libraries resolved, the remainder being records in which neither source states how the library was selected. The table exists because poly-A capture is the chemistry least favorable to viral-transcript recovery, so an unbalanced distribution of chemistry across groups could in principle manufacture the productivity contrast reported in the main text. It does not: the imbalance runs the other way. The neoplasia group,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group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group.</w:t>
            </w:r>
          </w:p>
          <w:bookmarkEnd w:id="1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0"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Detection-level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S3</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groups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near-absence of productive controls from the detection level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group in parentheses (Beta-Binomial posterior mean, Beta(0.5, 0.5) prior; group sizes in the headers), keeping both tables on one denominator; the trace-eligible counts per group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1" w:name="supptbl-coinf"/>
          <w:tbl>
            <w:tblPr>
              <w:tblStyle w:val="Table"/>
              <w:tblW w:type="pct" w:w="5000"/>
              <w:tblLayout w:type="fixed"/>
              <w:tblLook w:firstRow="1" w:lastRow="0" w:firstColumn="0" w:lastColumn="0" w:noHBand="0" w:noVBand="0" w:val="0020"/>
            </w:tblPr>
            <w:tblGrid>
              <w:gridCol w:w="772"/>
              <w:gridCol w:w="1287"/>
              <w:gridCol w:w="643"/>
              <w:gridCol w:w="5215"/>
            </w:tblGrid>
            <w:tr>
              <w:trPr>
                <w:tblHeader w:val="on"/>
              </w:trPr>
              <w:tc>
                <w:tcPr/>
                <w:p>
                  <w:pPr>
                    <w:pStyle w:val="Compact"/>
                    <w:jc w:val="left"/>
                    <w:jc w:val="center"/>
                  </w:pPr>
                  <w:r>
                    <w:t xml:space="preserve">Library</w:t>
                  </w:r>
                </w:p>
              </w:tc>
              <w:tc>
                <w:tcPr/>
                <w:p>
                  <w:pPr>
                    <w:pStyle w:val="Compact"/>
                    <w:jc w:val="left"/>
                    <w:jc w:val="center"/>
                  </w:pPr>
                  <w:r>
                    <w:t xml:space="preserve">Sample group</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26 of the 148 typed libraries qualify (20 with two types, 2 with three, 4 with four, 0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13 of the 26 come from the paired studies SRP314958 (RNA-seq) and SRP314961 (MeRIP-seq), which are condyloma lesions from 5 donors (CA_1 to CA_5), each sequenced as an RNA-seq library plus a MeRIP input and IP fraction, so rows sharing a donor carry near-identical read profiles. Second, the secondary types often sit close to the threshold: across all non-dominant calls the median depth is 9.0× and 39%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45-fold (interquartile range 14 to 2,175),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8 libraries carry both, against 14 with HPV11 alone and 1 with HPV42 alone. Requiring both partners to clear a stricter bar (breadth ≥ 0.70 and depth ≥ 5× for each) leaves 3 libraries from 1 of those donors (CA_1). Their dominance relation is asymmetric: HPV11 is the deeper type in all five condyloma lesions, exceeding HPV42 48- to 4,100-fold in the three with a strong HPV11 signal (CA_1, CA_4, CA_5) and 2- to 4-fold in the other two, so HPV42 is the minor partner throughout and clears the assignment threshold only where it happens to be abundant. Whether the pairing is a genuine dual infection or an artifact of that sensitivity limit cannot be settled from five donors of one study: it is a hypothesis the data motivate, not a result they support.</w:t>
            </w:r>
          </w:p>
          <w:bookmarkEnd w:id="201"/>
        </w:tc>
      </w:tr>
    </w:tbl>
    <w:bookmarkEnd w:id="202"/>
    <w:bookmarkStart w:id="204" w:name="sec-s-crosstalk"/>
    <w:p>
      <w:pPr>
        <w:pStyle w:val="Heading2"/>
      </w:pPr>
      <w:r>
        <w:t xml:space="preserve">Above-floor HPV in tissue that cannot host it: two contaminated studies</w:t>
      </w:r>
    </w:p>
    <w:p>
      <w:pPr>
        <w:pStyle w:val="FirstParagraph"/>
      </w:pPr>
      <w:r>
        <w:t xml:space="preserve">The non-permissive tissue group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group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03"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03"/>
        </w:tc>
      </w:tr>
    </w:tbl>
    <w:bookmarkEnd w:id="204"/>
    <w:bookmarkEnd w:id="20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hyperlink" Id="rId152" Target="https://doi.org/10.1001/jamadermatol.2025.0531" TargetMode="External" /><Relationship Type="http://schemas.openxmlformats.org/officeDocument/2006/relationships/hyperlink" Id="rId118" Target="https://doi.org/10.1001/jamadermatol.2026.0308" TargetMode="External" /><Relationship Type="http://schemas.openxmlformats.org/officeDocument/2006/relationships/hyperlink" Id="rId66" Target="https://doi.org/10.1002/ijc.33683" TargetMode="External" /><Relationship Type="http://schemas.openxmlformats.org/officeDocument/2006/relationships/hyperlink" Id="rId150" Target="https://doi.org/10.1007/s00430-011-0212-3" TargetMode="External" /><Relationship Type="http://schemas.openxmlformats.org/officeDocument/2006/relationships/hyperlink" Id="rId156" Target="https://doi.org/10.1016/S0092-8674(04)00402-7" TargetMode="External" /><Relationship Type="http://schemas.openxmlformats.org/officeDocument/2006/relationships/hyperlink" Id="rId138" Target="https://doi.org/10.1016/j.ccell.2024.11.013" TargetMode="External" /><Relationship Type="http://schemas.openxmlformats.org/officeDocument/2006/relationships/hyperlink" Id="rId68" Target="https://doi.org/10.1016/j.cmi.2019.04.028" TargetMode="External" /><Relationship Type="http://schemas.openxmlformats.org/officeDocument/2006/relationships/hyperlink" Id="rId76" Target="https://doi.org/10.1016/j.coviro.2019.07.010" TargetMode="External" /><Relationship Type="http://schemas.openxmlformats.org/officeDocument/2006/relationships/hyperlink" Id="rId84" Target="https://doi.org/10.1016/j.virol.2019.08.007" TargetMode="External" /><Relationship Type="http://schemas.openxmlformats.org/officeDocument/2006/relationships/hyperlink" Id="rId64" Target="https://doi.org/10.1038/jid.2011.91" TargetMode="External" /><Relationship Type="http://schemas.openxmlformats.org/officeDocument/2006/relationships/hyperlink" Id="rId60" Target="https://doi.org/10.1038/nature12064" TargetMode="External" /><Relationship Type="http://schemas.openxmlformats.org/officeDocument/2006/relationships/hyperlink" Id="rId86" Target="https://doi.org/10.1038/nbt.3820" TargetMode="External" /><Relationship Type="http://schemas.openxmlformats.org/officeDocument/2006/relationships/hyperlink" Id="rId140" Target="https://doi.org/10.1038/s41586-019-1719-9" TargetMode="External" /><Relationship Type="http://schemas.openxmlformats.org/officeDocument/2006/relationships/hyperlink" Id="rId106" Target="https://doi.org/10.1038/s41586-020-3023-0" TargetMode="External" /><Relationship Type="http://schemas.openxmlformats.org/officeDocument/2006/relationships/hyperlink" Id="rId142" Target="https://doi.org/10.1038/s41586-020-3024-z" TargetMode="External" /><Relationship Type="http://schemas.openxmlformats.org/officeDocument/2006/relationships/hyperlink" Id="rId93" Target="https://doi.org/10.1038/s41586-021-04332-2" TargetMode="External" /><Relationship Type="http://schemas.openxmlformats.org/officeDocument/2006/relationships/hyperlink" Id="rId72" Target="https://doi.org/10.1038/srep05807" TargetMode="External" /><Relationship Type="http://schemas.openxmlformats.org/officeDocument/2006/relationships/hyperlink" Id="rId122" Target="https://doi.org/10.1073/pnas.2118930119" TargetMode="External" /><Relationship Type="http://schemas.openxmlformats.org/officeDocument/2006/relationships/hyperlink" Id="rId88" Target="https://doi.org/10.1093/bioinformatics/bts635" TargetMode="External" /><Relationship Type="http://schemas.openxmlformats.org/officeDocument/2006/relationships/hyperlink" Id="rId112" Target="https://doi.org/10.1093/bioinformatics/btt656" TargetMode="External" /><Relationship Type="http://schemas.openxmlformats.org/officeDocument/2006/relationships/hyperlink" Id="rId78" Target="https://doi.org/10.1093/bioinformatics/bty560" TargetMode="External" /><Relationship Type="http://schemas.openxmlformats.org/officeDocument/2006/relationships/hyperlink" Id="rId82" Target="https://doi.org/10.1093/gigascience/giab008" TargetMode="External" /><Relationship Type="http://schemas.openxmlformats.org/officeDocument/2006/relationships/hyperlink" Id="rId126" Target="https://doi.org/10.1093/infdis/jiy577" TargetMode="External" /><Relationship Type="http://schemas.openxmlformats.org/officeDocument/2006/relationships/hyperlink" Id="rId110" Target="https://doi.org/10.1093/nar/gkq1019" TargetMode="External" /><Relationship Type="http://schemas.openxmlformats.org/officeDocument/2006/relationships/hyperlink" Id="rId144" Target="https://doi.org/10.1093/nar/gkw879" TargetMode="External" /><Relationship Type="http://schemas.openxmlformats.org/officeDocument/2006/relationships/hyperlink" Id="rId95" Target="https://doi.org/10.1097/DAD.0000000000001289" TargetMode="External" /><Relationship Type="http://schemas.openxmlformats.org/officeDocument/2006/relationships/hyperlink" Id="rId80" Target="https://doi.org/10.1101/2024.07.30.605881" TargetMode="External" /><Relationship Type="http://schemas.openxmlformats.org/officeDocument/2006/relationships/hyperlink" Id="rId146" Target="https://doi.org/10.1111/exd.14385" TargetMode="External" /><Relationship Type="http://schemas.openxmlformats.org/officeDocument/2006/relationships/hyperlink" Id="rId120" Target="https://doi.org/10.1111/j.0022-202X.2005.23635.x" TargetMode="External" /><Relationship Type="http://schemas.openxmlformats.org/officeDocument/2006/relationships/hyperlink" Id="rId114" Target="https://doi.org/10.1128/JVI.00093-14" TargetMode="External" /><Relationship Type="http://schemas.openxmlformats.org/officeDocument/2006/relationships/hyperlink" Id="rId104" Target="https://doi.org/10.1128/JVI.00822-15" TargetMode="External" /><Relationship Type="http://schemas.openxmlformats.org/officeDocument/2006/relationships/hyperlink" Id="rId128" Target="https://doi.org/10.1128/JVI.01003-18" TargetMode="External" /><Relationship Type="http://schemas.openxmlformats.org/officeDocument/2006/relationships/hyperlink" Id="rId74" Target="https://doi.org/10.1128/JVI.03365-14" TargetMode="External" /><Relationship Type="http://schemas.openxmlformats.org/officeDocument/2006/relationships/hyperlink" Id="rId62" Target="https://doi.org/10.1128/JVI.74.24.11636-11641.2000" TargetMode="External" /><Relationship Type="http://schemas.openxmlformats.org/officeDocument/2006/relationships/hyperlink" Id="rId97" Target="https://doi.org/10.1128/mbio.01607-23" TargetMode="External" /><Relationship Type="http://schemas.openxmlformats.org/officeDocument/2006/relationships/hyperlink" Id="rId70" Target="https://doi.org/10.1152/physiolgenomics.00093.2024" TargetMode="External" /><Relationship Type="http://schemas.openxmlformats.org/officeDocument/2006/relationships/hyperlink" Id="rId124" Target="https://doi.org/10.1158/0008-5472.CAN-21-0805" TargetMode="External" /><Relationship Type="http://schemas.openxmlformats.org/officeDocument/2006/relationships/hyperlink" Id="rId108" Target="https://doi.org/10.1158/2159-8290.CD-22-0489" TargetMode="External" /><Relationship Type="http://schemas.openxmlformats.org/officeDocument/2006/relationships/hyperlink" Id="rId130" Target="https://doi.org/10.1172/jci.insight.162558" TargetMode="External" /><Relationship Type="http://schemas.openxmlformats.org/officeDocument/2006/relationships/hyperlink" Id="rId116" Target="https://doi.org/10.1172/jci.insight.177898" TargetMode="External" /><Relationship Type="http://schemas.openxmlformats.org/officeDocument/2006/relationships/hyperlink" Id="rId132" Target="https://doi.org/10.1186/s12864-020-6483-6" TargetMode="External" /><Relationship Type="http://schemas.openxmlformats.org/officeDocument/2006/relationships/hyperlink" Id="rId154" Target="https://doi.org/10.1186/s13059-019-1891-0" TargetMode="External" /><Relationship Type="http://schemas.openxmlformats.org/officeDocument/2006/relationships/hyperlink" Id="rId136" Target="https://doi.org/10.1371/journal.pone.0163962" TargetMode="External" /><Relationship Type="http://schemas.openxmlformats.org/officeDocument/2006/relationships/hyperlink" Id="rId102" Target="https://doi.org/10.1371/journal.pone.0217942" TargetMode="External" /><Relationship Type="http://schemas.openxmlformats.org/officeDocument/2006/relationships/hyperlink" Id="rId148" Target="https://doi.org/10.1371/journal.ppat.1006783" TargetMode="External" /><Relationship Type="http://schemas.openxmlformats.org/officeDocument/2006/relationships/hyperlink" Id="rId134" Target="https://doi.org/10.64898/2026.04.21.719858" TargetMode="External" /><Relationship Type="http://schemas.openxmlformats.org/officeDocument/2006/relationships/hyperlink" Id="rId54" Target="https://github.com/tpall/hpv-human-skin" TargetMode="External" /><Relationship Type="http://schemas.openxmlformats.org/officeDocument/2006/relationships/hyperlink" Id="rId99" Target="https://mc-stan.org/rstanarm/" TargetMode="External" /><Relationship Type="http://schemas.openxmlformats.org/officeDocument/2006/relationships/hyperlink" Id="rId51" Target="https://orcid.org/0000-0001-7606-675X" TargetMode="External" /><Relationship Type="http://schemas.openxmlformats.org/officeDocument/2006/relationships/hyperlink" Id="rId55"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52" Target="https://doi.org/10.1001/jamadermatol.2025.0531" TargetMode="External" /><Relationship Type="http://schemas.openxmlformats.org/officeDocument/2006/relationships/hyperlink" Id="rId118" Target="https://doi.org/10.1001/jamadermatol.2026.0308" TargetMode="External" /><Relationship Type="http://schemas.openxmlformats.org/officeDocument/2006/relationships/hyperlink" Id="rId66" Target="https://doi.org/10.1002/ijc.33683" TargetMode="External" /><Relationship Type="http://schemas.openxmlformats.org/officeDocument/2006/relationships/hyperlink" Id="rId150" Target="https://doi.org/10.1007/s00430-011-0212-3" TargetMode="External" /><Relationship Type="http://schemas.openxmlformats.org/officeDocument/2006/relationships/hyperlink" Id="rId156" Target="https://doi.org/10.1016/S0092-8674(04)00402-7" TargetMode="External" /><Relationship Type="http://schemas.openxmlformats.org/officeDocument/2006/relationships/hyperlink" Id="rId138" Target="https://doi.org/10.1016/j.ccell.2024.11.013" TargetMode="External" /><Relationship Type="http://schemas.openxmlformats.org/officeDocument/2006/relationships/hyperlink" Id="rId68" Target="https://doi.org/10.1016/j.cmi.2019.04.028" TargetMode="External" /><Relationship Type="http://schemas.openxmlformats.org/officeDocument/2006/relationships/hyperlink" Id="rId76" Target="https://doi.org/10.1016/j.coviro.2019.07.010" TargetMode="External" /><Relationship Type="http://schemas.openxmlformats.org/officeDocument/2006/relationships/hyperlink" Id="rId84" Target="https://doi.org/10.1016/j.virol.2019.08.007" TargetMode="External" /><Relationship Type="http://schemas.openxmlformats.org/officeDocument/2006/relationships/hyperlink" Id="rId64" Target="https://doi.org/10.1038/jid.2011.91" TargetMode="External" /><Relationship Type="http://schemas.openxmlformats.org/officeDocument/2006/relationships/hyperlink" Id="rId60" Target="https://doi.org/10.1038/nature12064" TargetMode="External" /><Relationship Type="http://schemas.openxmlformats.org/officeDocument/2006/relationships/hyperlink" Id="rId86" Target="https://doi.org/10.1038/nbt.3820" TargetMode="External" /><Relationship Type="http://schemas.openxmlformats.org/officeDocument/2006/relationships/hyperlink" Id="rId140" Target="https://doi.org/10.1038/s41586-019-1719-9" TargetMode="External" /><Relationship Type="http://schemas.openxmlformats.org/officeDocument/2006/relationships/hyperlink" Id="rId106" Target="https://doi.org/10.1038/s41586-020-3023-0" TargetMode="External" /><Relationship Type="http://schemas.openxmlformats.org/officeDocument/2006/relationships/hyperlink" Id="rId142" Target="https://doi.org/10.1038/s41586-020-3024-z" TargetMode="External" /><Relationship Type="http://schemas.openxmlformats.org/officeDocument/2006/relationships/hyperlink" Id="rId93" Target="https://doi.org/10.1038/s41586-021-04332-2" TargetMode="External" /><Relationship Type="http://schemas.openxmlformats.org/officeDocument/2006/relationships/hyperlink" Id="rId72" Target="https://doi.org/10.1038/srep05807" TargetMode="External" /><Relationship Type="http://schemas.openxmlformats.org/officeDocument/2006/relationships/hyperlink" Id="rId122" Target="https://doi.org/10.1073/pnas.2118930119" TargetMode="External" /><Relationship Type="http://schemas.openxmlformats.org/officeDocument/2006/relationships/hyperlink" Id="rId88" Target="https://doi.org/10.1093/bioinformatics/bts635" TargetMode="External" /><Relationship Type="http://schemas.openxmlformats.org/officeDocument/2006/relationships/hyperlink" Id="rId112" Target="https://doi.org/10.1093/bioinformatics/btt656" TargetMode="External" /><Relationship Type="http://schemas.openxmlformats.org/officeDocument/2006/relationships/hyperlink" Id="rId78" Target="https://doi.org/10.1093/bioinformatics/bty560" TargetMode="External" /><Relationship Type="http://schemas.openxmlformats.org/officeDocument/2006/relationships/hyperlink" Id="rId82" Target="https://doi.org/10.1093/gigascience/giab008" TargetMode="External" /><Relationship Type="http://schemas.openxmlformats.org/officeDocument/2006/relationships/hyperlink" Id="rId126" Target="https://doi.org/10.1093/infdis/jiy577" TargetMode="External" /><Relationship Type="http://schemas.openxmlformats.org/officeDocument/2006/relationships/hyperlink" Id="rId110" Target="https://doi.org/10.1093/nar/gkq1019" TargetMode="External" /><Relationship Type="http://schemas.openxmlformats.org/officeDocument/2006/relationships/hyperlink" Id="rId144" Target="https://doi.org/10.1093/nar/gkw879" TargetMode="External" /><Relationship Type="http://schemas.openxmlformats.org/officeDocument/2006/relationships/hyperlink" Id="rId95" Target="https://doi.org/10.1097/DAD.0000000000001289" TargetMode="External" /><Relationship Type="http://schemas.openxmlformats.org/officeDocument/2006/relationships/hyperlink" Id="rId80" Target="https://doi.org/10.1101/2024.07.30.605881" TargetMode="External" /><Relationship Type="http://schemas.openxmlformats.org/officeDocument/2006/relationships/hyperlink" Id="rId146" Target="https://doi.org/10.1111/exd.14385" TargetMode="External" /><Relationship Type="http://schemas.openxmlformats.org/officeDocument/2006/relationships/hyperlink" Id="rId120" Target="https://doi.org/10.1111/j.0022-202X.2005.23635.x" TargetMode="External" /><Relationship Type="http://schemas.openxmlformats.org/officeDocument/2006/relationships/hyperlink" Id="rId114" Target="https://doi.org/10.1128/JVI.00093-14" TargetMode="External" /><Relationship Type="http://schemas.openxmlformats.org/officeDocument/2006/relationships/hyperlink" Id="rId104" Target="https://doi.org/10.1128/JVI.00822-15" TargetMode="External" /><Relationship Type="http://schemas.openxmlformats.org/officeDocument/2006/relationships/hyperlink" Id="rId128" Target="https://doi.org/10.1128/JVI.01003-18" TargetMode="External" /><Relationship Type="http://schemas.openxmlformats.org/officeDocument/2006/relationships/hyperlink" Id="rId74" Target="https://doi.org/10.1128/JVI.03365-14" TargetMode="External" /><Relationship Type="http://schemas.openxmlformats.org/officeDocument/2006/relationships/hyperlink" Id="rId62" Target="https://doi.org/10.1128/JVI.74.24.11636-11641.2000" TargetMode="External" /><Relationship Type="http://schemas.openxmlformats.org/officeDocument/2006/relationships/hyperlink" Id="rId97" Target="https://doi.org/10.1128/mbio.01607-23" TargetMode="External" /><Relationship Type="http://schemas.openxmlformats.org/officeDocument/2006/relationships/hyperlink" Id="rId70" Target="https://doi.org/10.1152/physiolgenomics.00093.2024" TargetMode="External" /><Relationship Type="http://schemas.openxmlformats.org/officeDocument/2006/relationships/hyperlink" Id="rId124" Target="https://doi.org/10.1158/0008-5472.CAN-21-0805" TargetMode="External" /><Relationship Type="http://schemas.openxmlformats.org/officeDocument/2006/relationships/hyperlink" Id="rId108" Target="https://doi.org/10.1158/2159-8290.CD-22-0489" TargetMode="External" /><Relationship Type="http://schemas.openxmlformats.org/officeDocument/2006/relationships/hyperlink" Id="rId130" Target="https://doi.org/10.1172/jci.insight.162558" TargetMode="External" /><Relationship Type="http://schemas.openxmlformats.org/officeDocument/2006/relationships/hyperlink" Id="rId116" Target="https://doi.org/10.1172/jci.insight.177898" TargetMode="External" /><Relationship Type="http://schemas.openxmlformats.org/officeDocument/2006/relationships/hyperlink" Id="rId132" Target="https://doi.org/10.1186/s12864-020-6483-6" TargetMode="External" /><Relationship Type="http://schemas.openxmlformats.org/officeDocument/2006/relationships/hyperlink" Id="rId154" Target="https://doi.org/10.1186/s13059-019-1891-0" TargetMode="External" /><Relationship Type="http://schemas.openxmlformats.org/officeDocument/2006/relationships/hyperlink" Id="rId136" Target="https://doi.org/10.1371/journal.pone.0163962" TargetMode="External" /><Relationship Type="http://schemas.openxmlformats.org/officeDocument/2006/relationships/hyperlink" Id="rId102" Target="https://doi.org/10.1371/journal.pone.0217942" TargetMode="External" /><Relationship Type="http://schemas.openxmlformats.org/officeDocument/2006/relationships/hyperlink" Id="rId148" Target="https://doi.org/10.1371/journal.ppat.1006783" TargetMode="External" /><Relationship Type="http://schemas.openxmlformats.org/officeDocument/2006/relationships/hyperlink" Id="rId134" Target="https://doi.org/10.64898/2026.04.21.719858" TargetMode="External" /><Relationship Type="http://schemas.openxmlformats.org/officeDocument/2006/relationships/hyperlink" Id="rId54" Target="https://github.com/tpall/hpv-human-skin" TargetMode="External" /><Relationship Type="http://schemas.openxmlformats.org/officeDocument/2006/relationships/hyperlink" Id="rId99" Target="https://mc-stan.org/rstanarm/" TargetMode="External" /><Relationship Type="http://schemas.openxmlformats.org/officeDocument/2006/relationships/hyperlink" Id="rId51" Target="https://orcid.org/0000-0001-7606-675X" TargetMode="External" /><Relationship Type="http://schemas.openxmlformats.org/officeDocument/2006/relationships/hyperlink" Id="rId55"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Taavi Päll; Alla Piirsoo; Marko Piirsoo</dc:creator>
  <cp:keywords/>
  <dcterms:created xsi:type="dcterms:W3CDTF">2026-08-28T10:16:42Z</dcterms:created>
  <dcterms:modified xsi:type="dcterms:W3CDTF">2026-08-28T10:16:42Z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journal-of-investigative-dermatology.csl</vt:lpwstr>
  </property>
  <property fmtid="{D5CDD505-2E9C-101B-9397-08002B2CF9AE}" pid="10" name="date">
    <vt:lpwstr>2026-08-28</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Short version, formatted to Journal of Investigative Dermatology limits</vt:lpwstr>
  </property>
  <property fmtid="{D5CDD505-2E9C-101B-9397-08002B2CF9AE}" pid="17" name="tbl-cap-location">
    <vt:lpwstr>top</vt:lpwstr>
  </property>
  <property fmtid="{D5CDD505-2E9C-101B-9397-08002B2CF9AE}" pid="18" name="toc-title">
    <vt:lpwstr>Table of contents</vt:lpwstr>
  </property>
</Properties>
</file>