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42.png" ContentType="image/png"/>
  <Override PartName="/word/media/rId179.png" ContentType="image/png"/>
  <Override PartName="/word/media/rId183.png" ContentType="image/png"/>
  <Override PartName="/word/media/rId187.png" ContentType="image/png"/>
  <Override PartName="/word/media/rId191.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Taavi Päll</w:t>
      </w:r>
    </w:p>
    <w:p>
      <w:pPr>
        <w:pStyle w:val="Author"/>
      </w:pPr>
      <w:r>
        <w:t xml:space="preserve">Alla Piirsoo</w:t>
      </w:r>
    </w:p>
    <w:p>
      <w:pPr>
        <w:pStyle w:val="Author"/>
      </w:pPr>
      <w:r>
        <w:t xml:space="preserve">Marko Piirsoo</w:t>
      </w:r>
    </w:p>
    <w:p>
      <w:pPr>
        <w:pStyle w:val="Date"/>
      </w:pPr>
      <w:r>
        <w:t xml:space="preserve">2026-10-13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carcinoma and keratosis specimens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et al. 2019a)</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et al. 2019b)</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immunosuppression or chronic inflammation during early cancer development but becomes dispensable once the tumor forms</w:t>
      </w:r>
      <w:r>
        <w:t xml:space="preserve"> </w:t>
      </w:r>
      <w:r>
        <w:t xml:space="preserve">(Dorfer et al. 2021; Viarisio et al. 2018)</w:t>
      </w:r>
      <w:r>
        <w:t xml:space="preserve">. Alternatively, the protective-immunity theory suggests T-cell immunity to regular papillomaviruses actively suppresses skin cancer, meaning viral loss reflects immune selection</w:t>
      </w:r>
      <w:r>
        <w:t xml:space="preserve"> </w:t>
      </w:r>
      <w:r>
        <w:t xml:space="preserve">(Lambert et al. 2021; Strickley et al. 2021; Strickley et al. 2019)</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2022b)</w:t>
      </w:r>
      <w:r>
        <w:t xml:space="preserve">. Two routes have been proposed for the loss itself: ultraviolet-driven host mutations, for example in p53 or NOTCH, may make the viral oncogenes redundant so that the genome is no longer selected for, and genomic instability under ultraviolet exposure may impair episome replication and segregation between daughter cells</w:t>
      </w:r>
      <w:r>
        <w:t xml:space="preserve"> </w:t>
      </w:r>
      <w:r>
        <w:t xml:space="preserve">(Bruyere et al. 2026)</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et al.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(Bhargava et al. 2025; Leiendecker et al. 2023)</w:t>
      </w:r>
      <w:r>
        <w:t xml:space="preserve">. However, the method is booby-trapped. HeLa-derived HPV18 contaminates archived data extensively</w:t>
      </w:r>
      <w:r>
        <w:t xml:space="preserve"> </w:t>
      </w:r>
      <w:r>
        <w:t xml:space="preserve">(Adey et al. 2013; Cantalupo et al. 2015; Kazemian et al. 2015)</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7"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met the assignment criterion in 34 libraries cohort-wide, of which 32 were cell lines and none were tissue; HPV16 in 28, of which 24 were cell lines. This is the signature of integrated-HPV lines and their documented contamination of archived data. Genuine primary skin therefore shows detectable HPV transcription in only 2–4% of libraries. Much of the apparent HPV signal in public transcriptomes likely reflects laboratory-derived artifacts, which must be separated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Viral transcription gives an independent check on that artifact. E1 is thought to be encoded only on polycistronic early mRNAs that also encode E2</w:t>
      </w:r>
      <w:r>
        <w:t xml:space="preserve"> </w:t>
      </w:r>
      <w:r>
        <w:t xml:space="preserve">(Rehm et al. 2022a; Sankovski et al. 2014)</w:t>
      </w:r>
      <w:r>
        <w:t xml:space="preserve">, so their counts should track one another unless integration disrupts E2. Cell lines carry integrated HPV DNA and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provided junctions are scored as clustering rather than raw count: raw counts scale with viral load (the two EV libraries have over 12,000 chimeric reads each, spread across about 9,000 sites), whereas integration appears as junctions clustering at a single site. As an independent test of the marker in primary tissue of known progression, we scored a graded HPV16-positive cervical series, where the ratio rises with each grade: the median ratio runs from 0.36 in normal epithelium through 0.78 in high-grade lesion to 2.77 in carcinoma, a 7.7-fold rise (</w:t>
      </w:r>
      <w:hyperlink w:anchor="fig-integration">
        <w:r>
          <w:rPr>
            <w:rStyle w:val="Hyperlink"/>
          </w:rPr>
          <w:t xml:space="preserve">Figure 1</w:t>
        </w:r>
      </w:hyperlink>
      <w:r>
        <w:t xml:space="preserve"> </w:t>
      </w:r>
      <w:r>
        <w:t xml:space="preserve">c, plotted on the log</w:t>
      </w:r>
      <w:r>
        <w:rPr>
          <w:vertAlign w:val="subscript"/>
        </w:rPr>
        <w:t xml:space="preserve">2</w:t>
      </w:r>
      <w:r>
        <w:t xml:space="preserve"> </w:t>
      </w:r>
      <w:r>
        <w:t xml:space="preserve">scale). Late transcription falls away along the same axis. The carcinoma median still sits well below the cell-line median. This fits either a mixture of integrated and episomal genomes or admixture of non-tumor epithelium in a bulk biopsy. The rise in primary tissue suggests that the marker reflects viral integration as a biological process rather than merely culture-derived artifacts.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Viral genome state assessed by transcript analysis. (</w:t>
            </w:r>
            <w:r>
              <w:rPr>
                <w:b/>
                <w:bCs/>
              </w:rPr>
              <w:t xml:space="preserve">a</w:t>
            </w:r>
            <w:r>
              <w:t xml:space="preserve">) E1:E2 transcript ratio by group, log</w:t>
            </w:r>
            <w:r>
              <w:rPr>
                <w:vertAlign w:val="subscript"/>
              </w:rPr>
              <w:t xml:space="preserve">2</w:t>
            </w:r>
            <w:r>
              <w:t xml:space="preserve">((E1 + 0.5)/(E2 + 0.5)), for libraries with at least five combined reads; dashed line, parity. The episomal HPV31-positive HaCaT derivative falls among primary tissue. (</w:t>
            </w:r>
            <w:r>
              <w:rPr>
                <w:b/>
                <w:bCs/>
              </w:rPr>
              <w:t xml:space="preserve">b</w:t>
            </w:r>
            <w:r>
              <w:t xml:space="preserve">) Virus-host chimeric junctions: the fraction at a library’s most-supported coordinate pair against the raw junction count; dashed gray line, the 0.2 clustering threshold. (</w:t>
            </w:r>
            <w:r>
              <w:rPr>
                <w:b/>
                <w:bCs/>
              </w:rPr>
              <w:t xml:space="preserve">c</w:t>
            </w:r>
            <w:r>
              <w:t xml:space="preserve">) E1:E2 ratio in a graded HPV16-positive cervical series (SRP252916) of normal epithelium, high-grade squamous intraepithelial lesion (HSIL) and carcinoma, sequenced under one protocol. Open circles, libraries (</w:t>
            </w:r>
            <w:r>
              <w:rPr>
                <w:i/>
                <w:iCs/>
              </w:rPr>
              <w:t xml:space="preserve">n</w:t>
            </w:r>
            <w:r>
              <w:t xml:space="preserve"> </w:t>
            </w:r>
            <w:r>
              <w:t xml:space="preserve">= 3, 6 and 6 by grade; the HPV-negative controls returned no HPV and are not plotted); filled diamonds, arm medians joined by a solid line; dashed line, parity.</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sample group.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and EV biopsies lie far above it, whereas cutaneous neoplasia and unselected skin sit near zero despite neoplasia being sequenced almost four times more deeply than the productive controls (median 45.2M vs 12.2M reads). Group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groups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Library chemistry also limits viral recovery, and it too fails to explain the gap. Chemistry was resolved for 6,736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group, rRNA-depleted libraries were no likelier than poly-A to carry an HPV read (OR 1.0, 95% CI 0.8–1.2), and among the 657 rRNA-depleted libraries alone, not one in either group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Decomposing the below-floor libraries by gene puts a mechanism under that floor: 63% of the 230 below-floor skin and neoplasia libraries carry no reads on any HPV gene, and only 13% reach the productive threshold, against 91% of productive controls (</w:t>
      </w:r>
      <w:hyperlink w:anchor="suppfig-trace">
        <w:r>
          <w:rPr>
            <w:rStyle w:val="Hyperlink"/>
          </w:rPr>
          <w:t xml:space="preserve">Figure S2</w:t>
        </w:r>
      </w:hyperlink>
      <w:r>
        <w:t xml:space="preserve">). Unselected skin, once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transcription program makes the distinction visible (</w:t>
      </w:r>
      <w:hyperlink w:anchor="fig-orf">
        <w:r>
          <w:rPr>
            <w:rStyle w:val="Hyperlink"/>
          </w:rPr>
          <w:t xml:space="preserve">Figure 3</w:t>
        </w:r>
      </w:hyperlink>
      <w:r>
        <w:t xml:space="preserve">). Productive groups run the complete viral program, including the late mRNAs that encode the capsid proteins (L1 in 90% of productive controls, 95.5% of EV;</w:t>
      </w:r>
      <w:r>
        <w:t xml:space="preserve"> </w:t>
      </w:r>
      <w:hyperlink w:anchor="fig-orf">
        <w:r>
          <w:rPr>
            <w:rStyle w:val="Hyperlink"/>
          </w:rPr>
          <w:t xml:space="preserve">Figure 3</w:t>
        </w:r>
      </w:hyperlink>
      <w:r>
        <w:t xml:space="preserve"> </w:t>
      </w:r>
      <w:r>
        <w:t xml:space="preserve">a). Skin and neoplasia are not a truncated program but a uniformly faint one, low across all six frames alike (unselected skin 10.3% for E6, 18.6% for L1). Cell lines are the third shape: E6 and E7 in 90.4% and 93.4% against E2 in 33.8% and L2 in 10.6%. In composition (</w:t>
      </w:r>
      <w:hyperlink w:anchor="fig-orf">
        <w:r>
          <w:rPr>
            <w:rStyle w:val="Hyperlink"/>
          </w:rPr>
          <w:t xml:space="preserve">Figure 3</w:t>
        </w:r>
      </w:hyperlink>
      <w:r>
        <w:t xml:space="preserve"> </w:t>
      </w:r>
      <w:r>
        <w:t xml:space="preserve">b), productive controls place 34.9% of viral reads on late genes against 6.4% on the oncogenes; cell lines invert this exactly. Read one library at a time, the same split falls out of the criterion itself, productive controls and EV above the L1 ≥ 3 threshold and skin and neoplasia below (</w:t>
      </w:r>
      <w:hyperlink w:anchor="fig-orf">
        <w:r>
          <w:rPr>
            <w:rStyle w:val="Hyperlink"/>
          </w:rPr>
          <w:t xml:space="preserve">Figure 3</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 program by sample group. All panels are conditional on HPV positivity and successful typing, so none is a prevalence statement; group</w:t>
            </w:r>
            <w:r>
              <w:t xml:space="preserve"> </w:t>
            </w:r>
            <w:r>
              <w:rPr>
                <w:i/>
                <w:iCs/>
              </w:rPr>
              <w:t xml:space="preserve">n</w:t>
            </w:r>
            <w:r>
              <w:t xml:space="preserve"> </w:t>
            </w:r>
            <w:r>
              <w:t xml:space="preserve">is on each panel. (</w:t>
            </w:r>
            <w:r>
              <w:rPr>
                <w:b/>
                <w:bCs/>
              </w:rPr>
              <w:t xml:space="preserve">a</w:t>
            </w:r>
            <w:r>
              <w:t xml:space="preserve">) Percentage of a group’s libraries carrying at least one read on each open reading frame, as a Beta-Binomial posterior mean. Productive groups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S3</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sample group. Rows show the assigned-type catalog, the detection-level trace catalog and their union, collapsed from type to genus; a library contributes to at most one of the first two rows. Each point is the percentage of the group’s libraries carrying the genus (Beta-Binomial posterior mean, Beta(0.5, 0.5) prior), the bar its 95% credible interval, and the number above it the count of libraries. Gray crosses mark a genus never detected in that group, drawn at the floor of the log-scaled</w:t>
            </w:r>
            <w:r>
              <w:t xml:space="preserve"> </w:t>
            </w:r>
            <w:r>
              <w:rPr>
                <w:i/>
                <w:iCs/>
              </w:rPr>
              <w:t xml:space="preserve">y</w:t>
            </w:r>
            <w:r>
              <w:t xml:space="preserve">-axis, where the tick labeled 0 stands for zero.</w:t>
            </w:r>
          </w:p>
          <w:bookmarkEnd w:id="40"/>
        </w:tc>
      </w:tr>
    </w:tbl>
    <w:bookmarkEnd w:id="41"/>
    <w:bookmarkStart w:id="46" w:name="X319f9cefb35454de48114c91b33e0ec833bb09f"/>
    <w:p>
      <w:pPr>
        <w:pStyle w:val="Heading3"/>
      </w:pPr>
      <w:r>
        <w:t xml:space="preserve">The reservoir is independently present in public skin DNA</w:t>
      </w:r>
    </w:p>
    <w:p>
      <w:pPr>
        <w:pStyle w:val="FirstParagraph"/>
      </w:pPr>
      <w:r>
        <w:t xml:space="preserve">Transcriptional silence of HPV genomes is only informative against a reservoir known to exist, so we re-tabulated a petabase-scale papillomavirus catalog of public metagenome assemblies</w:t>
      </w:r>
      <w:r>
        <w:t xml:space="preserve"> </w:t>
      </w:r>
      <w:r>
        <w:t xml:space="preserve">(Chikhi et al. 2024; Shen et al. 2026)</w:t>
      </w:r>
      <w:r>
        <w:t xml:space="preserve"> </w:t>
      </w:r>
      <w:r>
        <w:t xml:space="preserve">by body site (Methods). Skin metagenomes contribute 1,735 HPV-positive libraries with a cutaneous commensal composition (beta 57.9%, gamma 40.7%, alpha 7.4%), while the same procedure returns the mucosal niche for vaginal metagenomes (alpha 84.5%), so the read-out is not assembly noise (</w:t>
      </w:r>
      <w:hyperlink w:anchor="suppfig-reservoir-gut">
        <w:r>
          <w:rPr>
            <w:rStyle w:val="Hyperlink"/>
          </w:rPr>
          <w:t xml:space="preserve">Figure S4</w:t>
        </w:r>
      </w:hyperlink>
      <w:r>
        <w:t xml:space="preserve">). The 14 commonest reservoir types are beta and gamma but for HPV2, and our detection level sees them only as a trace: across our 7,800 unselected-skin libraries they account for 0 assigned and 9 trace detections (</w:t>
      </w:r>
      <w:hyperlink w:anchor="fig-reservoir">
        <w:r>
          <w:rPr>
            <w:rStyle w:val="Hyperlink"/>
          </w:rPr>
          <w:t xml:space="preserve">Figure 5</w:t>
        </w:r>
      </w:hyperlink>
      <w:r>
        <w:t xml:space="preserve"> </w:t>
      </w:r>
      <w:r>
        <w:t xml:space="preserve">a). Across all 130 types the disagreement is general: 102 of the 115 types present in the reservoir are productive in no library here, and HPV2 alone is both abundant in skin DNA and productive in our RNA (</w:t>
      </w:r>
      <w:hyperlink w:anchor="fig-reservoir">
        <w:r>
          <w:rPr>
            <w:rStyle w:val="Hyperlink"/>
          </w:rPr>
          <w:t xml:space="preserve">Figure 5</w:t>
        </w:r>
      </w:hyperlink>
      <w:r>
        <w:t xml:space="preserve"> </w:t>
      </w:r>
      <w:r>
        <w:t xml:space="preserve">b). HPV8, the beta type most often named as the cutaneous carcinoma candidate in serological and DNA studies, is the sharpest case: it is the eighth commonest type in the reservoir, carried by 63 of the 1,735 HPV-positive skin DNA libraries, yet it appears in 0 of the 10,834 RNA libraries screened here, at any level and whether assigned or trace.</w:t>
      </w:r>
    </w:p>
    <w:tbl>
      <w:tblPr>
        <w:tblStyle w:val="Table"/>
        <w:tblW w:type="pct" w:w="5000"/>
        <w:tblLayout w:type="fixed"/>
        <w:tblLook w:firstRow="0" w:lastRow="0" w:firstColumn="0" w:lastColumn="0" w:noHBand="0" w:noVBand="0" w:val="0000"/>
      </w:tblPr>
      <w:tblGrid>
        <w:gridCol w:w="7920"/>
      </w:tblGrid>
      <w:tr>
        <w:tc>
          <w:tcPr/>
          <w:bookmarkStart w:id="45" w:name="fig-reservoir"/>
          <w:p>
            <w:pPr>
              <w:pStyle w:val="Compact"/>
              <w:jc w:val="center"/>
            </w:pPr>
            <w:r>
              <w:drawing>
                <wp:inline>
                  <wp:extent cx="5943600" cy="2601032"/>
                  <wp:effectExtent b="0" l="0" r="0" t="0"/>
                  <wp:docPr descr="" title="" id="43" name="Picture"/>
                  <a:graphic>
                    <a:graphicData uri="http://schemas.openxmlformats.org/drawingml/2006/picture">
                      <pic:pic>
                        <pic:nvPicPr>
                          <pic:cNvPr descr="figure5.png" id="44" name="Picture"/>
                          <pic:cNvPicPr>
                            <a:picLocks noChangeArrowheads="1" noChangeAspect="1"/>
                          </pic:cNvPicPr>
                        </pic:nvPicPr>
                        <pic:blipFill>
                          <a:blip r:embed="rId42"/>
                          <a:stretch>
                            <a:fillRect/>
                          </a:stretch>
                        </pic:blipFill>
                        <pic:spPr bwMode="auto">
                          <a:xfrm>
                            <a:off x="0" y="0"/>
                            <a:ext cx="5943600" cy="2601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Most of the skin HPV DNA reservoir is transcriptionally silent. Re-tabulation of a Logan-wide papillomavirus catalog</w:t>
            </w:r>
            <w:r>
              <w:t xml:space="preserve"> </w:t>
            </w:r>
            <w:r>
              <w:t xml:space="preserve">(Shen et al. 2026)</w:t>
            </w:r>
            <w:r>
              <w:t xml:space="preserve"> </w:t>
            </w:r>
            <w:r>
              <w:t xml:space="preserve">by body site, restricted to skin (Methods; validation in</w:t>
            </w:r>
            <w:r>
              <w:t xml:space="preserve"> </w:t>
            </w:r>
            <w:hyperlink w:anchor="suppfig-reservoir-gut">
              <w:r>
                <w:rPr>
                  <w:rStyle w:val="Hyperlink"/>
                </w:rPr>
                <w:t xml:space="preserve">Figure S4</w:t>
              </w:r>
            </w:hyperlink>
            <w:r>
              <w:t xml:space="preserve">). (</w:t>
            </w:r>
            <w:r>
              <w:rPr>
                <w:b/>
                <w:bCs/>
              </w:rPr>
              <w:t xml:space="preserve">a</w:t>
            </w:r>
            <w:r>
              <w:t xml:space="preserve">) The 14 commonest types in the skin reservoir, as a percentage of the 1,735 HPV-positive skin DNA libraries (composition, not prevalence: a co-infected library counts under each type). Beside each bar are the type’s assigned and detection-level counts among the 7,800 unselected-skin RNA libraries, shaded where non-zero. (</w:t>
            </w:r>
            <w:r>
              <w:rPr>
                <w:b/>
                <w:bCs/>
              </w:rPr>
              <w:t xml:space="preserve">b</w:t>
            </w:r>
            <w:r>
              <w:t xml:space="preserve">) All 130 types resolved in either modality: skin DNA libraries carrying the type against libraries transcribing it productively (warts and EV), log</w:t>
            </w:r>
            <w:r>
              <w:rPr>
                <w:vertAlign w:val="subscript"/>
              </w:rPr>
              <w:t xml:space="preserve">10</w:t>
            </w:r>
            <w:r>
              <w:t xml:space="preserve">(</w:t>
            </w:r>
            <w:r>
              <w:rPr>
                <w:i/>
                <w:iCs/>
              </w:rPr>
              <w:t xml:space="preserve">n</w:t>
            </w:r>
            <w:r>
              <w:t xml:space="preserve"> </w:t>
            </w:r>
            <w:r>
              <w:t xml:space="preserve">+ 1), jittered. The shaded corner, abundant</w:t>
            </w:r>
            <w:r>
              <w:t xml:space="preserve"> </w:t>
            </w:r>
            <w:r>
              <w:rPr>
                <w:i/>
                <w:iCs/>
              </w:rPr>
              <w:t xml:space="preserve">and</w:t>
            </w:r>
            <w:r>
              <w:t xml:space="preserve"> </w:t>
            </w:r>
            <w:r>
              <w:t xml:space="preserve">productive, is what the reservoir-to-disease inference assumes; HPV2 is its only occupant.</w:t>
            </w:r>
          </w:p>
          <w:bookmarkEnd w:id="45"/>
        </w:tc>
      </w:tr>
    </w:tbl>
    <w:bookmarkEnd w:id="46"/>
    <w:bookmarkEnd w:id="47"/>
    <w:bookmarkStart w:id="48"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Against the prior RNA-seq and in situ reports of silence in cutaneous carcinoma (Introduction), our study adds rigorous controls, a clear denominator, and a defined metric. We jointly analyze 406 cSCC/AK libraries and 7,800 unselected-skin libraries in one pipeline. We score productive replication, not just presence, against a baseline of confirmed productive lesions: the same instrument that finds no productive infection in cSCC/AK reports 93.2% productivity in warts.</w:t>
      </w:r>
    </w:p>
    <w:p>
      <w:pPr>
        <w:pStyle w:val="BodyText"/>
      </w:pPr>
      <w:r>
        <w:t xml:space="preserve">This result does not settle the mechanism, because all three models predict a declining viral signal along the progression axis. The hit-and-run model works because ultraviolet-induced host mutations can make E6 and E7 dispensable once a tumor is established</w:t>
      </w:r>
      <w:r>
        <w:t xml:space="preserve"> </w:t>
      </w:r>
      <w:r>
        <w:t xml:space="preserve">(Dorfer et al. 2021; Viarisio et al. 2018)</w:t>
      </w:r>
      <w:r>
        <w:t xml:space="preserve">, after which a genome nothing selects for may be lost from the expanding clone; impaired episome replication and segregation under ultraviolet exposure is a proposed additional route</w:t>
      </w:r>
      <w:r>
        <w:t xml:space="preserve"> </w:t>
      </w:r>
      <w:r>
        <w:t xml:space="preserve">(Bruyere et al. 2026)</w:t>
      </w:r>
      <w:r>
        <w:t xml:space="preserve">. Protective immunity works because virus-positive cells face negative selection</w:t>
      </w:r>
      <w:r>
        <w:t xml:space="preserve"> </w:t>
      </w:r>
      <w:r>
        <w:t xml:space="preserve">(Son et al. 2025; Strickley et al. 2019)</w:t>
      </w:r>
      <w:r>
        <w:t xml:space="preserve">. Cis-restriction works because quiescence is the viral default</w:t>
      </w:r>
      <w:r>
        <w:t xml:space="preserve"> </w:t>
      </w:r>
      <w:r>
        <w:t xml:space="preserve">(Rehm et al. 2022b)</w:t>
      </w:r>
      <w:r>
        <w:t xml:space="preserve">. A fourth consideration is not a model but a property of the readout: late transcription requires terminal differentiation</w:t>
      </w:r>
      <w:r>
        <w:t xml:space="preserve"> </w:t>
      </w:r>
      <w:r>
        <w:t xml:space="preserve">(Doorbar et al. 2012)</w:t>
      </w:r>
      <w:r>
        <w:t xml:space="preserve">, so a poorly differentiated tumor cannot run the late program regardless. Our trace decomposition answers it, since 63% of below-floor skin and neoplasia libraries carry no reads on any HPV gene at all, not merely no late ones (</w:t>
      </w:r>
      <w:hyperlink w:anchor="suppfig-trace">
        <w:r>
          <w:rPr>
            <w:rStyle w:val="Hyperlink"/>
          </w:rPr>
          <w:t xml:space="preserve">Figure S2</w:t>
        </w:r>
      </w:hyperlink>
      <w:r>
        <w:t xml:space="preserve">). Our data measure this exact axis and cannot separate the three models. Nor does absent transcription imply clearance: episomal genomes may persist silently, or with intermittent activity, below the detection limit of bulk RNA sequencing. Absent productive transcription in established lesions does not exclude a transient viral contribution earlier in carcinogenesis.</w:t>
      </w:r>
    </w:p>
    <w:p>
      <w:pPr>
        <w:pStyle w:val="BodyText"/>
      </w:pPr>
      <w:r>
        <w:t xml:space="preserve">The elevated beta-HPV activity that Son and colleagues found in keratinocyte clones of sun-exposed skin</w:t>
      </w:r>
      <w:r>
        <w:t xml:space="preserve"> </w:t>
      </w:r>
      <w:r>
        <w:t xml:space="preserve">(Son et al. 2025)</w:t>
      </w:r>
      <w:r>
        <w:t xml:space="preserve"> </w:t>
      </w:r>
      <w:r>
        <w:t xml:space="preserve">does not conflict with our quiet reservoir, because we sequenced whole biopsies without sorting for ultraviolet exposure. A signal arising from small keratinocyte clones is diluted when averaged across an entire biopsy, a documented effect for cutaneous HPV</w:t>
      </w:r>
      <w:r>
        <w:t xml:space="preserve"> </w:t>
      </w:r>
      <w:r>
        <w:t xml:space="preserve">(Purdie et al. 2005)</w:t>
      </w:r>
      <w:r>
        <w:t xml:space="preserve">. We nevertheless agree on viral presence: we recovered trace HPV from 62.5% of AK libraries. HPV8 itself, however, was absent at any level from all 10,834 analyzed RNA libraries. That absence argues against persistent productive HPV8 transcription in established lesions while remaining compatible with transient, focal or latent activity. The nine-valent vaccine reduced the burden of actinic keratosis in a randomized trial</w:t>
      </w:r>
      <w:r>
        <w:t xml:space="preserve"> </w:t>
      </w:r>
      <w:r>
        <w:t xml:space="preserve">(Wenande et al. 2025)</w:t>
      </w:r>
      <w:r>
        <w:t xml:space="preserve">. It targets mucosal alpha types, not the resident beta reservoir, so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HPV12, HPV96 and HPV182 belong to the beta-HPV species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thus not a ceiling on what beta-HPV can do in skin. No productive HPV12, HPV96 or HPV182 has to our knowledge been described from public RNA-seq of primary skin.</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et al. 2019a)</w:t>
      </w:r>
      <w:r>
        <w:t xml:space="preserve">, while RNA-seq uses deep biopsies that miss surface and hair follicle layers. Third, screening panels miss 229 skin types lacking reference genomes</w:t>
      </w:r>
      <w:r>
        <w:t xml:space="preserve"> </w:t>
      </w:r>
      <w:r>
        <w:t xml:space="preserve">(Bzhalava et al. 2014)</w:t>
      </w:r>
      <w:r>
        <w:t xml:space="preserve">. DNA data confirm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dominated by contamination. Cultured materials show a five-fold enrichment that reflects known HeLa cell contamination in archives</w:t>
      </w:r>
      <w:r>
        <w:t xml:space="preserve"> </w:t>
      </w:r>
      <w:r>
        <w:t xml:space="preserve">(Adey et al. 2013; Cantalupo et al. 2015; Kazemian et al. 2015)</w:t>
      </w:r>
      <w:r>
        <w:t xml:space="preserve">, traced in one facility to a quality-control cell pool run with tumors</w:t>
      </w:r>
      <w:r>
        <w:t xml:space="preserve"> </w:t>
      </w:r>
      <w:r>
        <w:t xml:space="preserve">(Selitsky et al. 2020)</w:t>
      </w:r>
      <w:r>
        <w:t xml:space="preserve">. Over 65% of viral sequences from 712 libraries group with reagents or protocols instead of actual specimens</w:t>
      </w:r>
      <w:r>
        <w:t xml:space="preserve"> </w:t>
      </w:r>
      <w:r>
        <w:t xml:space="preserve">(Asplund et al. 2019)</w:t>
      </w:r>
      <w:r>
        <w:t xml:space="preserve">, and re-analyses have invalidated major archive-scale microbial findings</w:t>
      </w:r>
      <w:r>
        <w:t xml:space="preserve"> </w:t>
      </w:r>
      <w:r>
        <w:t xml:space="preserve">(Gihawi et al. 2023)</w:t>
      </w:r>
      <w:r>
        <w:t xml:space="preserve">. Our safeguards are not individually new</w:t>
      </w:r>
      <w:r>
        <w:t xml:space="preserve"> </w:t>
      </w:r>
      <w:r>
        <w:t xml:space="preserve">(Cantalupo and Pipas 2019)</w:t>
      </w:r>
      <w:r>
        <w:t xml:space="preserve">; our contribution is quantifying the size of each artifact rather than merely asserting it.</w:t>
      </w:r>
    </w:p>
    <w:p>
      <w:pPr>
        <w:pStyle w:val="BodyText"/>
      </w:pPr>
      <w:r>
        <w:t xml:space="preserve">Petabase-scale surveys are now the standard method for establishing viral presence across body sites, but a presence catalog cannot measure biological activity. Because these surveys rely on sequence assembly, integrated genomes fail to assemble across the virus-host junction.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approaches a tautology, as the completeness criterion itself selects for episomal genomes in both tissues.</w:t>
      </w:r>
    </w:p>
    <w:p>
      <w:pPr>
        <w:pStyle w:val="BodyText"/>
      </w:pPr>
      <w:r>
        <w:t xml:space="preserve">Several limitations affect these findings, starting with the non-random nature of archival sampling, which makes the absolute healthy-skin rate an estimate. Sequencing chemistry could only be resolved for 62.2% of libraries, while input amount, RNA integrity, and fragment selection are entirely unrecoverable from the archived metadata. Because biopsy averaging dilutes focal transcription, our productivity estimates are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is productive in warts and epidermodysplasia verruciformis, but leaves only a trace, non-productive footprint in cutaneous squamous neoplasia, regardless of sequencing depth or library chemistry. This phenotype is the baseline any theory of beta-HPV in skin cancer must address. Because all major hypotheses predict this outcome, more precise measurement of viral activity will not separate them. That requires study designs that break the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8"/>
    <w:bookmarkStart w:id="49"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Group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per-group medians spanning 95.8% to 99.5%, so no group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9"/>
    <w:bookmarkStart w:id="50" w:name="affiliations"/>
    <w:p>
      <w:pPr>
        <w:pStyle w:val="Heading2"/>
      </w:pPr>
      <w:r>
        <w:t xml:space="preserve">Affiliations</w:t>
      </w:r>
    </w:p>
    <w:p>
      <w:pPr>
        <w:pStyle w:val="Compact"/>
        <w:numPr>
          <w:ilvl w:val="0"/>
          <w:numId w:val="1001"/>
        </w:numPr>
      </w:pPr>
      <w:r>
        <w:t xml:space="preserve">Institute of Biomedicine and Translational Medicine, University of Tartu, Tartu, Estonia</w:t>
      </w:r>
    </w:p>
    <w:p>
      <w:pPr>
        <w:pStyle w:val="Compact"/>
        <w:numPr>
          <w:ilvl w:val="0"/>
          <w:numId w:val="1001"/>
        </w:numPr>
      </w:pPr>
      <w:r>
        <w:t xml:space="preserve">Institute of Bioengineering, University of Tartu, Tartu, Estonia</w:t>
      </w:r>
    </w:p>
    <w:p>
      <w:pPr>
        <w:pStyle w:val="FirstParagraph"/>
      </w:pPr>
      <w:r>
        <w:t xml:space="preserve">Taavi Päll</w:t>
      </w:r>
      <w:r>
        <w:rPr>
          <w:vertAlign w:val="superscript"/>
        </w:rPr>
        <w:t xml:space="preserve">1</w:t>
      </w:r>
      <w:r>
        <w:t xml:space="preserve">, Alla Piirsoo</w:t>
      </w:r>
      <w:r>
        <w:rPr>
          <w:vertAlign w:val="superscript"/>
        </w:rPr>
        <w:t xml:space="preserve">2</w:t>
      </w:r>
      <w:r>
        <w:t xml:space="preserve">, Marko Piirsoo</w:t>
      </w:r>
      <w:r>
        <w:rPr>
          <w:vertAlign w:val="superscript"/>
        </w:rPr>
        <w:t xml:space="preserve">2</w:t>
      </w:r>
    </w:p>
    <w:p>
      <w:pPr>
        <w:pStyle w:val="BodyText"/>
      </w:pPr>
      <w:r>
        <w:t xml:space="preserve">Correspondence: Taavi Päll, Institute of Biomedicine and Translational Medicine, Biomeedikum, Ravila 19, 50411 Tartu, Estonia. Email: taavi.pall@ut.ee. Telephone: +372 737 4185</w:t>
      </w:r>
    </w:p>
    <w:bookmarkEnd w:id="50"/>
    <w:bookmarkStart w:id="53" w:name="orcids"/>
    <w:p>
      <w:pPr>
        <w:pStyle w:val="Heading2"/>
      </w:pPr>
      <w:r>
        <w:t xml:space="preserve">ORCiDs</w:t>
      </w:r>
    </w:p>
    <w:p>
      <w:pPr>
        <w:pStyle w:val="FirstParagraph"/>
      </w:pPr>
      <w:r>
        <w:t xml:space="preserve">Taavi Päll:</w:t>
      </w:r>
      <w:r>
        <w:t xml:space="preserve"> </w:t>
      </w:r>
      <w:hyperlink r:id="rId51">
        <w:r>
          <w:rPr>
            <w:rStyle w:val="Hyperlink"/>
          </w:rPr>
          <w:t xml:space="preserve">https://orcid.org/0000-0001-7606-675X</w:t>
        </w:r>
      </w:hyperlink>
    </w:p>
    <w:p>
      <w:pPr>
        <w:pStyle w:val="BodyText"/>
      </w:pPr>
      <w:r>
        <w:t xml:space="preserve">Alla Piirsoo:</w:t>
      </w:r>
      <w:r>
        <w:t xml:space="preserve"> </w:t>
      </w:r>
      <w:hyperlink r:id="rId52">
        <w:r>
          <w:rPr>
            <w:rStyle w:val="Hyperlink"/>
          </w:rPr>
          <w:t xml:space="preserve">https://orcid.org/0000-0001-6843-7127</w:t>
        </w:r>
      </w:hyperlink>
    </w:p>
    <w:p>
      <w:pPr>
        <w:pStyle w:val="BodyText"/>
      </w:pPr>
      <w:r>
        <w:t xml:space="preserve">Marko Piirsoo: [to be completed]</w:t>
      </w:r>
    </w:p>
    <w:bookmarkEnd w:id="53"/>
    <w:bookmarkStart w:id="54" w:name="ethics-statement"/>
    <w:p>
      <w:pPr>
        <w:pStyle w:val="Heading2"/>
      </w:pPr>
      <w:r>
        <w:t xml:space="preserve">Ethics Statement</w:t>
      </w:r>
    </w:p>
    <w:p>
      <w:pPr>
        <w:pStyle w:val="FirstParagraph"/>
      </w:pPr>
      <w:r>
        <w:t xml:space="preserve">This study analyzed only publicly archived, de-identified human sequencing data retrieved from the NCBI Sequence Read Archive, and generated no new human or animal material. Institutional review board approval and informed consent were therefore not required for the work reported here. Ethical approval and participant consent for the primary studies were the responsibility of their submitting investigators and are recorded in the corresponding BioProject entries.</w:t>
      </w:r>
    </w:p>
    <w:bookmarkEnd w:id="54"/>
    <w:bookmarkStart w:id="5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6">
        <w:r>
          <w:rPr>
            <w:rStyle w:val="Hyperlink"/>
          </w:rPr>
          <w:t xml:space="preserve">https://pave.niaid.nih.gov</w:t>
        </w:r>
      </w:hyperlink>
      <w:r>
        <w:t xml:space="preserve">) and NCBI RefSeq. No new sequencing data were generated.</w:t>
      </w:r>
    </w:p>
    <w:bookmarkEnd w:id="57"/>
    <w:bookmarkStart w:id="58" w:name="conflict-of-interest"/>
    <w:p>
      <w:pPr>
        <w:pStyle w:val="Heading2"/>
      </w:pPr>
      <w:r>
        <w:t xml:space="preserve">Conflict of Interest</w:t>
      </w:r>
    </w:p>
    <w:p>
      <w:pPr>
        <w:pStyle w:val="FirstParagraph"/>
      </w:pPr>
      <w:r>
        <w:t xml:space="preserve">The authors state no conflict of interest.</w:t>
      </w:r>
    </w:p>
    <w:bookmarkEnd w:id="58"/>
    <w:bookmarkStart w:id="59" w:name="acknowledgments"/>
    <w:p>
      <w:pPr>
        <w:pStyle w:val="Heading2"/>
      </w:pPr>
      <w:r>
        <w:t xml:space="preserve">Acknowledgments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9"/>
    <w:bookmarkStart w:id="60" w:name="author-contributions-statement"/>
    <w:p>
      <w:pPr>
        <w:pStyle w:val="Heading2"/>
      </w:pPr>
      <w:r>
        <w:t xml:space="preserve">Author Contributions Statement</w:t>
      </w:r>
    </w:p>
    <w:p>
      <w:pPr>
        <w:pStyle w:val="FirstParagraph"/>
      </w:pPr>
      <w:r>
        <w:t xml:space="preserve">[To be completed, CRediT-compliant.] Conceptualization: AP; Data Curation: ; Formal Analysis: ; Funding Acquisition: ; Investigation: ; Methodology: ; Project Administration: ; Resources: ; Software: ; Supervision: ; Validation: AP; Visualization: ; Writing - Original Draft Preparation: ; Writing - Review and Editing: AP.</w:t>
      </w:r>
    </w:p>
    <w:bookmarkEnd w:id="60"/>
    <w:bookmarkStart w:id="61" w:name="declaration-of-generative-ai-use"/>
    <w:p>
      <w:pPr>
        <w:pStyle w:val="Heading2"/>
      </w:pPr>
      <w:r>
        <w:t xml:space="preserve">Declaration of Generative AI Use</w:t>
      </w:r>
    </w:p>
    <w:p>
      <w:pPr>
        <w:pStyle w:val="FirstParagraph"/>
      </w:pPr>
      <w:r>
        <w:t xml:space="preserve">During this work the authors used Claude (Anthropic) to assist with writing and debugging the analysis pipeline and statistical code, and with editing the manuscript text, and Microsoft Copilot to help draft review comments on the manuscript. The authors reviewed and edited all output and take full responsibility for the content of the publication.</w:t>
      </w:r>
    </w:p>
    <w:bookmarkEnd w:id="61"/>
    <w:bookmarkStart w:id="163" w:name="references"/>
    <w:p>
      <w:pPr>
        <w:pStyle w:val="Heading2"/>
      </w:pPr>
      <w:r>
        <w:t xml:space="preserve">References</w:t>
      </w:r>
    </w:p>
    <w:bookmarkStart w:id="162" w:name="refs"/>
    <w:bookmarkStart w:id="63" w:name="ref-adey2013"/>
    <w:p>
      <w:pPr>
        <w:pStyle w:val="Bibliography"/>
      </w:pPr>
      <w:r>
        <w:t xml:space="preserve">Adey A, Burton JN, Kitzman JO, Hiatt JB, Lewis AP, Martin BK, et al.</w:t>
      </w:r>
      <w:r>
        <w:t xml:space="preserve"> </w:t>
      </w:r>
      <w:hyperlink r:id="rId62">
        <w:r>
          <w:rPr>
            <w:rStyle w:val="Hyperlink"/>
          </w:rPr>
          <w:t xml:space="preserve">The haplotype-resolved genome and epigenome of the aneuploid</w:t>
        </w:r>
        <w:r>
          <w:rPr>
            <w:rStyle w:val="Hyperlink"/>
          </w:rPr>
          <w:t xml:space="preserve"> </w:t>
        </w:r>
        <w:r>
          <w:rPr>
            <w:rStyle w:val="Hyperlink"/>
          </w:rPr>
          <w:t xml:space="preserve">HeLa</w:t>
        </w:r>
        <w:r>
          <w:rPr>
            <w:rStyle w:val="Hyperlink"/>
          </w:rPr>
          <w:t xml:space="preserve"> </w:t>
        </w:r>
        <w:r>
          <w:rPr>
            <w:rStyle w:val="Hyperlink"/>
          </w:rPr>
          <w:t xml:space="preserve">cancer cell line</w:t>
        </w:r>
      </w:hyperlink>
      <w:r>
        <w:t xml:space="preserve">. Nature. 2013;500:207–11</w:t>
      </w:r>
    </w:p>
    <w:bookmarkEnd w:id="63"/>
    <w:bookmarkStart w:id="65" w:name="ref-antonsson2000"/>
    <w:p>
      <w:pPr>
        <w:pStyle w:val="Bibliography"/>
      </w:pPr>
      <w:r>
        <w:t xml:space="preserve">Antonsson A, Forslund O, Ekberg H, Sterner G, Hansson BG.</w:t>
      </w:r>
      <w:r>
        <w:t xml:space="preserve"> </w:t>
      </w:r>
      <w:hyperlink r:id="rId64">
        <w:r>
          <w:rPr>
            <w:rStyle w:val="Hyperlink"/>
          </w:rPr>
          <w:t xml:space="preserve">The ubiquity and impressive genomic diversity of human skin papillomaviruses suggest a commensalic nature of these viruses</w:t>
        </w:r>
      </w:hyperlink>
      <w:r>
        <w:t xml:space="preserve">. Journal of Virology. 2000;74(24):11636–41</w:t>
      </w:r>
    </w:p>
    <w:bookmarkEnd w:id="65"/>
    <w:bookmarkStart w:id="67" w:name="ref-arron2011"/>
    <w:p>
      <w:pPr>
        <w:pStyle w:val="Bibliography"/>
      </w:pPr>
      <w:r>
        <w:t xml:space="preserve">Arron ST, Graham Ruby J, Dybbro E, Ganem D, DeRisi JL.</w:t>
      </w:r>
      <w:r>
        <w:t xml:space="preserve"> </w:t>
      </w:r>
      <w:hyperlink r:id="rId66">
        <w:r>
          <w:rPr>
            <w:rStyle w:val="Hyperlink"/>
          </w:rPr>
          <w:t xml:space="preserve">Transcriptome sequencing demonstrates that human papillomavirus is not active in cutaneous squamous cell carcinoma</w:t>
        </w:r>
      </w:hyperlink>
      <w:r>
        <w:t xml:space="preserve">. Journal of Investigative Dermatology. 2011;131(8):1745–53</w:t>
      </w:r>
    </w:p>
    <w:bookmarkEnd w:id="67"/>
    <w:bookmarkStart w:id="69" w:name="ref-arroyomuhr2021"/>
    <w:p>
      <w:pPr>
        <w:pStyle w:val="Bibliography"/>
      </w:pPr>
      <w:r>
        <w:t xml:space="preserve">Arroyo Mühr LS, Hultin E, Dillner J.</w:t>
      </w:r>
      <w:r>
        <w:t xml:space="preserve"> </w:t>
      </w:r>
      <w:hyperlink r:id="rId68">
        <w:r>
          <w:rPr>
            <w:rStyle w:val="Hyperlink"/>
          </w:rPr>
          <w:t xml:space="preserve">Transcription of human papillomaviruses in nonmelanoma skin cancers of the immunosuppressed</w:t>
        </w:r>
      </w:hyperlink>
      <w:r>
        <w:t xml:space="preserve">. International Journal of Cancer. 2021;149(6):1341–7</w:t>
      </w:r>
    </w:p>
    <w:bookmarkEnd w:id="69"/>
    <w:bookmarkStart w:id="71" w:name="ref-asplund2019"/>
    <w:p>
      <w:pPr>
        <w:pStyle w:val="Bibliography"/>
      </w:pPr>
      <w:r>
        <w:t xml:space="preserve">Asplund M, Kjartansdóttir KR, Mollerup S, Vinner L, Fridholm H, Herrera JAR, et al.</w:t>
      </w:r>
      <w:r>
        <w:t xml:space="preserve"> </w:t>
      </w:r>
      <w:hyperlink r:id="rId70">
        <w:r>
          <w:rPr>
            <w:rStyle w:val="Hyperlink"/>
          </w:rPr>
          <w:t xml:space="preserve">Contaminating viral sequences in high-throughput sequencing viromics: A linkage study of 700 sequencing libraries</w:t>
        </w:r>
      </w:hyperlink>
      <w:r>
        <w:t xml:space="preserve">. Clinical Microbiology and Infection. 2019;25(10):1277–85</w:t>
      </w:r>
    </w:p>
    <w:bookmarkEnd w:id="71"/>
    <w:bookmarkStart w:id="73" w:name="ref-bhargava2025"/>
    <w:p>
      <w:pPr>
        <w:pStyle w:val="Bibliography"/>
      </w:pPr>
      <w:r>
        <w:t xml:space="preserve">Bhargava D, Labadie A, Hanson-Rios-Stutz RL, Goodyke A, Moses EM, Das AS, et al.</w:t>
      </w:r>
      <w:r>
        <w:t xml:space="preserve"> </w:t>
      </w:r>
      <w:hyperlink r:id="rId72">
        <w:r>
          <w:rPr>
            <w:rStyle w:val="Hyperlink"/>
          </w:rPr>
          <w:t xml:space="preserve">From castaways to discoveries: Unveiling treasures in skin</w:t>
        </w:r>
        <w:r>
          <w:rPr>
            <w:rStyle w:val="Hyperlink"/>
          </w:rPr>
          <w:t xml:space="preserve"> </w:t>
        </w:r>
        <w:r>
          <w:rPr>
            <w:rStyle w:val="Hyperlink"/>
          </w:rPr>
          <w:t xml:space="preserve">RNAseq</w:t>
        </w:r>
        <w:r>
          <w:rPr>
            <w:rStyle w:val="Hyperlink"/>
          </w:rPr>
          <w:t xml:space="preserve"> </w:t>
        </w:r>
        <w:r>
          <w:rPr>
            <w:rStyle w:val="Hyperlink"/>
          </w:rPr>
          <w:t xml:space="preserve">using a novel multidimensional data processing workflow including infection-host dynamics</w:t>
        </w:r>
      </w:hyperlink>
      <w:r>
        <w:t xml:space="preserve">. Physiological Genomics. 2025;57(5):343–56</w:t>
      </w:r>
    </w:p>
    <w:bookmarkEnd w:id="73"/>
    <w:bookmarkStart w:id="75" w:name="ref-bruyere2026"/>
    <w:p>
      <w:pPr>
        <w:pStyle w:val="Bibliography"/>
      </w:pPr>
      <w:r>
        <w:t xml:space="preserve">Bruyere D, Delahaye T, Nikkels A, Herfs M.</w:t>
      </w:r>
      <w:r>
        <w:t xml:space="preserve"> </w:t>
      </w:r>
      <w:hyperlink r:id="rId74">
        <w:r>
          <w:rPr>
            <w:rStyle w:val="Hyperlink"/>
          </w:rPr>
          <w:t xml:space="preserve">Pathophysiology of cutaneous commensal human papillomaviruses</w:t>
        </w:r>
      </w:hyperlink>
      <w:r>
        <w:t xml:space="preserve">. Journal of Investigative Dermatology. 2026;146(7):1770–86</w:t>
      </w:r>
    </w:p>
    <w:bookmarkEnd w:id="75"/>
    <w:bookmarkStart w:id="77" w:name="ref-bzhalava2014"/>
    <w:p>
      <w:pPr>
        <w:pStyle w:val="Bibliography"/>
      </w:pPr>
      <w:r>
        <w:t xml:space="preserve">Bzhalava D, Arroyo Mühr LS, Lagheden C, Ekström J, Forslund O, Dillner J, et al.</w:t>
      </w:r>
      <w:r>
        <w:t xml:space="preserve"> </w:t>
      </w:r>
      <w:hyperlink r:id="rId76">
        <w:r>
          <w:rPr>
            <w:rStyle w:val="Hyperlink"/>
          </w:rPr>
          <w:t xml:space="preserve">Deep sequencing extends the diversity of human papillomaviruses in human skin</w:t>
        </w:r>
      </w:hyperlink>
      <w:r>
        <w:t xml:space="preserve">. Scientific Reports. 2014;4:5807</w:t>
      </w:r>
    </w:p>
    <w:bookmarkEnd w:id="77"/>
    <w:bookmarkStart w:id="79" w:name="ref-cantalupo2015"/>
    <w:p>
      <w:pPr>
        <w:pStyle w:val="Bibliography"/>
      </w:pPr>
      <w:r>
        <w:t xml:space="preserve">Cantalupo PG, Katz JP, Pipas JM.</w:t>
      </w:r>
      <w:r>
        <w:t xml:space="preserve"> </w:t>
      </w:r>
      <w:hyperlink r:id="rId78">
        <w:r>
          <w:rPr>
            <w:rStyle w:val="Hyperlink"/>
          </w:rPr>
          <w:t xml:space="preserve">HeLa</w:t>
        </w:r>
        <w:r>
          <w:rPr>
            <w:rStyle w:val="Hyperlink"/>
          </w:rPr>
          <w:t xml:space="preserve"> </w:t>
        </w:r>
        <w:r>
          <w:rPr>
            <w:rStyle w:val="Hyperlink"/>
          </w:rPr>
          <w:t xml:space="preserve">nucleic acid contamination in</w:t>
        </w:r>
        <w:r>
          <w:rPr>
            <w:rStyle w:val="Hyperlink"/>
          </w:rPr>
          <w:t xml:space="preserve"> </w:t>
        </w:r>
        <w:r>
          <w:rPr>
            <w:rStyle w:val="Hyperlink"/>
          </w:rPr>
          <w:t xml:space="preserve">The Cancer Genome Atlas</w:t>
        </w:r>
        <w:r>
          <w:rPr>
            <w:rStyle w:val="Hyperlink"/>
          </w:rPr>
          <w:t xml:space="preserve"> </w:t>
        </w:r>
        <w:r>
          <w:rPr>
            <w:rStyle w:val="Hyperlink"/>
          </w:rPr>
          <w:t xml:space="preserve">leads to the misidentification of human papillomavirus 18</w:t>
        </w:r>
      </w:hyperlink>
      <w:r>
        <w:t xml:space="preserve">. Journal of Virology. 2015;89(8):4051–7</w:t>
      </w:r>
    </w:p>
    <w:bookmarkEnd w:id="79"/>
    <w:bookmarkStart w:id="81" w:name="ref-cantalupo2019"/>
    <w:p>
      <w:pPr>
        <w:pStyle w:val="Bibliography"/>
      </w:pPr>
      <w:r>
        <w:t xml:space="preserve">Cantalupo PG, Pipas JM.</w:t>
      </w:r>
      <w:r>
        <w:t xml:space="preserve"> </w:t>
      </w:r>
      <w:hyperlink r:id="rId80">
        <w:r>
          <w:rPr>
            <w:rStyle w:val="Hyperlink"/>
          </w:rPr>
          <w:t xml:space="preserve">Detecting viral sequences in</w:t>
        </w:r>
        <w:r>
          <w:rPr>
            <w:rStyle w:val="Hyperlink"/>
          </w:rPr>
          <w:t xml:space="preserve"> </w:t>
        </w:r>
        <w:r>
          <w:rPr>
            <w:rStyle w:val="Hyperlink"/>
          </w:rPr>
          <w:t xml:space="preserve">NGS</w:t>
        </w:r>
        <w:r>
          <w:rPr>
            <w:rStyle w:val="Hyperlink"/>
          </w:rPr>
          <w:t xml:space="preserve"> </w:t>
        </w:r>
        <w:r>
          <w:rPr>
            <w:rStyle w:val="Hyperlink"/>
          </w:rPr>
          <w:t xml:space="preserve">data</w:t>
        </w:r>
      </w:hyperlink>
      <w:r>
        <w:t xml:space="preserve">. Current Opinion in Virology. 2019;39:41–8</w:t>
      </w:r>
    </w:p>
    <w:bookmarkEnd w:id="81"/>
    <w:bookmarkStart w:id="83" w:name="ref-chen2018"/>
    <w:p>
      <w:pPr>
        <w:pStyle w:val="Bibliography"/>
      </w:pPr>
      <w:r>
        <w:t xml:space="preserve">Chen S, Zhou Y, Chen Y, Gu J.</w:t>
      </w:r>
      <w:r>
        <w:t xml:space="preserve"> </w:t>
      </w:r>
      <w:hyperlink r:id="rId82">
        <w:r>
          <w:rPr>
            <w:rStyle w:val="Hyperlink"/>
          </w:rPr>
          <w:t xml:space="preserve">Fastp: An ultra-fast all-in-one</w:t>
        </w:r>
        <w:r>
          <w:rPr>
            <w:rStyle w:val="Hyperlink"/>
          </w:rPr>
          <w:t xml:space="preserve"> </w:t>
        </w:r>
        <w:r>
          <w:rPr>
            <w:rStyle w:val="Hyperlink"/>
          </w:rPr>
          <w:t xml:space="preserve">FASTQ</w:t>
        </w:r>
        <w:r>
          <w:rPr>
            <w:rStyle w:val="Hyperlink"/>
          </w:rPr>
          <w:t xml:space="preserve"> </w:t>
        </w:r>
        <w:r>
          <w:rPr>
            <w:rStyle w:val="Hyperlink"/>
          </w:rPr>
          <w:t xml:space="preserve">preprocessor</w:t>
        </w:r>
      </w:hyperlink>
      <w:r>
        <w:t xml:space="preserve">. Bioinformatics. 2018;34(17):i884–90</w:t>
      </w:r>
    </w:p>
    <w:bookmarkEnd w:id="83"/>
    <w:bookmarkStart w:id="85" w:name="ref-chikhi2024"/>
    <w:p>
      <w:pPr>
        <w:pStyle w:val="Bibliography"/>
      </w:pPr>
      <w:r>
        <w:t xml:space="preserve">Chikhi R, Raffestin B, Korobeynikov A, Edgar R, Babaian A.</w:t>
      </w:r>
      <w:r>
        <w:t xml:space="preserve"> </w:t>
      </w:r>
      <w:hyperlink r:id="rId84">
        <w:r>
          <w:rPr>
            <w:rStyle w:val="Hyperlink"/>
          </w:rPr>
          <w:t xml:space="preserve">Logan: Planetary-scale genome assembly surveys life’s diversity</w:t>
        </w:r>
      </w:hyperlink>
      <w:r>
        <w:t xml:space="preserve">. bioRxiv. 2024;</w:t>
      </w:r>
    </w:p>
    <w:bookmarkEnd w:id="85"/>
    <w:bookmarkStart w:id="87" w:name="ref-danecek2021"/>
    <w:p>
      <w:pPr>
        <w:pStyle w:val="Bibliography"/>
      </w:pPr>
      <w:r>
        <w:t xml:space="preserve">Danecek P, Bonfield JK, Liddle J, Marshall J, Ohan V, Pollard MO, et al.</w:t>
      </w:r>
      <w:r>
        <w:t xml:space="preserve"> </w:t>
      </w:r>
      <w:hyperlink r:id="rId86">
        <w:r>
          <w:rPr>
            <w:rStyle w:val="Hyperlink"/>
          </w:rPr>
          <w:t xml:space="preserve">Twelve years of</w:t>
        </w:r>
        <w:r>
          <w:rPr>
            <w:rStyle w:val="Hyperlink"/>
          </w:rPr>
          <w:t xml:space="preserve"> </w:t>
        </w:r>
        <w:r>
          <w:rPr>
            <w:rStyle w:val="Hyperlink"/>
          </w:rPr>
          <w:t xml:space="preserve">SAMtools</w:t>
        </w:r>
        <w:r>
          <w:rPr>
            <w:rStyle w:val="Hyperlink"/>
          </w:rPr>
          <w:t xml:space="preserve"> </w:t>
        </w:r>
        <w:r>
          <w:rPr>
            <w:rStyle w:val="Hyperlink"/>
          </w:rPr>
          <w:t xml:space="preserve">and</w:t>
        </w:r>
        <w:r>
          <w:rPr>
            <w:rStyle w:val="Hyperlink"/>
          </w:rPr>
          <w:t xml:space="preserve"> </w:t>
        </w:r>
        <w:r>
          <w:rPr>
            <w:rStyle w:val="Hyperlink"/>
          </w:rPr>
          <w:t xml:space="preserve">BCFtools</w:t>
        </w:r>
      </w:hyperlink>
      <w:r>
        <w:t xml:space="preserve">. GigaScience. 2021;10(2):giab008</w:t>
      </w:r>
    </w:p>
    <w:bookmarkEnd w:id="87"/>
    <w:bookmarkStart w:id="89" w:name="ref-devitt2019"/>
    <w:p>
      <w:pPr>
        <w:pStyle w:val="Bibliography"/>
      </w:pPr>
      <w:r>
        <w:t xml:space="preserve">Devitt K, Hanson SJ, Tuong ZK, McMeniman E, Soyer HP, Frazer IH, et al.</w:t>
      </w:r>
      <w:r>
        <w:t xml:space="preserve"> </w:t>
      </w:r>
      <w:hyperlink r:id="rId88">
        <w:r>
          <w:rPr>
            <w:rStyle w:val="Hyperlink"/>
          </w:rPr>
          <w:t xml:space="preserve">Single-cell</w:t>
        </w:r>
        <w:r>
          <w:rPr>
            <w:rStyle w:val="Hyperlink"/>
          </w:rPr>
          <w:t xml:space="preserve"> </w:t>
        </w:r>
        <w:r>
          <w:rPr>
            <w:rStyle w:val="Hyperlink"/>
          </w:rPr>
          <w:t xml:space="preserve">RNA</w:t>
        </w:r>
        <w:r>
          <w:rPr>
            <w:rStyle w:val="Hyperlink"/>
          </w:rPr>
          <w:t xml:space="preserve"> </w:t>
        </w:r>
        <w:r>
          <w:rPr>
            <w:rStyle w:val="Hyperlink"/>
          </w:rPr>
          <w:t xml:space="preserve">sequencing reveals cell type-specific</w:t>
        </w:r>
        <w:r>
          <w:rPr>
            <w:rStyle w:val="Hyperlink"/>
          </w:rPr>
          <w:t xml:space="preserve"> </w:t>
        </w:r>
        <w:r>
          <w:rPr>
            <w:rStyle w:val="Hyperlink"/>
          </w:rPr>
          <w:t xml:space="preserve">HPV</w:t>
        </w:r>
        <w:r>
          <w:rPr>
            <w:rStyle w:val="Hyperlink"/>
          </w:rPr>
          <w:t xml:space="preserve"> </w:t>
        </w:r>
        <w:r>
          <w:rPr>
            <w:rStyle w:val="Hyperlink"/>
          </w:rPr>
          <w:t xml:space="preserve">expression in hyperplastic skin lesions</w:t>
        </w:r>
      </w:hyperlink>
      <w:r>
        <w:t xml:space="preserve">. Virology. 2019;537:14–9</w:t>
      </w:r>
    </w:p>
    <w:bookmarkEnd w:id="89"/>
    <w:bookmarkStart w:id="91" w:name="ref-ditommaso2017"/>
    <w:p>
      <w:pPr>
        <w:pStyle w:val="Bibliography"/>
      </w:pPr>
      <w:r>
        <w:t xml:space="preserve">Di Tommaso P, Chatzou M, Floden EW, Prieto Barja P, Palumbo E, Notredame C.</w:t>
      </w:r>
      <w:r>
        <w:t xml:space="preserve"> </w:t>
      </w:r>
      <w:hyperlink r:id="rId90">
        <w:r>
          <w:rPr>
            <w:rStyle w:val="Hyperlink"/>
          </w:rPr>
          <w:t xml:space="preserve">Nextflow enables reproducible computational workflows</w:t>
        </w:r>
      </w:hyperlink>
      <w:r>
        <w:t xml:space="preserve">. Nature Biotechnology. 2017;35(4):316–9</w:t>
      </w:r>
    </w:p>
    <w:bookmarkEnd w:id="91"/>
    <w:bookmarkStart w:id="93" w:name="ref-dobin2013"/>
    <w:p>
      <w:pPr>
        <w:pStyle w:val="Bibliography"/>
      </w:pPr>
      <w:r>
        <w:t xml:space="preserve">Dobin A, Davis CA, Schlesinger F, Drenkow J, Zaleski C, Jha S, et al.</w:t>
      </w:r>
      <w:r>
        <w:t xml:space="preserve"> </w:t>
      </w:r>
      <w:hyperlink r:id="rId92">
        <w:r>
          <w:rPr>
            <w:rStyle w:val="Hyperlink"/>
          </w:rPr>
          <w:t xml:space="preserve">STAR</w:t>
        </w:r>
        <w:r>
          <w:rPr>
            <w:rStyle w:val="Hyperlink"/>
          </w:rPr>
          <w:t xml:space="preserve">: Ultrafast universal</w:t>
        </w:r>
        <w:r>
          <w:rPr>
            <w:rStyle w:val="Hyperlink"/>
          </w:rPr>
          <w:t xml:space="preserve"> </w:t>
        </w:r>
        <w:r>
          <w:rPr>
            <w:rStyle w:val="Hyperlink"/>
          </w:rPr>
          <w:t xml:space="preserve">RNA-seq</w:t>
        </w:r>
        <w:r>
          <w:rPr>
            <w:rStyle w:val="Hyperlink"/>
          </w:rPr>
          <w:t xml:space="preserve"> </w:t>
        </w:r>
        <w:r>
          <w:rPr>
            <w:rStyle w:val="Hyperlink"/>
          </w:rPr>
          <w:t xml:space="preserve">aligner</w:t>
        </w:r>
      </w:hyperlink>
      <w:r>
        <w:t xml:space="preserve">. Bioinformatics. 2013;29(1):15–21</w:t>
      </w:r>
    </w:p>
    <w:bookmarkEnd w:id="93"/>
    <w:bookmarkStart w:id="94" w:name="ref-doorbar2023"/>
    <w:p>
      <w:pPr>
        <w:pStyle w:val="Bibliography"/>
      </w:pPr>
      <w:r>
        <w:t xml:space="preserve">Doorbar J. The human papillomavirus twilight zone: Latency, immune control and subclinical infection. Tumour Virus Research. 2023;16:200268</w:t>
      </w:r>
    </w:p>
    <w:bookmarkEnd w:id="94"/>
    <w:bookmarkStart w:id="95" w:name="ref-doorbar2012"/>
    <w:p>
      <w:pPr>
        <w:pStyle w:val="Bibliography"/>
      </w:pPr>
      <w:r>
        <w:t xml:space="preserve">Doorbar J, Quint W, Banks L, Bravo IG, Stoler M, Broker TR, et al. The biology and life-cycle of human papillomaviruses. Vaccine. 2012;30(Suppl 5):F55–70</w:t>
      </w:r>
    </w:p>
    <w:bookmarkEnd w:id="95"/>
    <w:bookmarkStart w:id="96" w:name="ref-dorfer2021"/>
    <w:p>
      <w:pPr>
        <w:pStyle w:val="Bibliography"/>
      </w:pPr>
      <w:r>
        <w:t xml:space="preserve">Dorfer S, Strasser K, Schröckenfuchs G, Bonelli M, Bauer W, Kittler H, et al.</w:t>
      </w:r>
      <w:r>
        <w:t xml:space="preserve"> </w:t>
      </w:r>
      <w:r>
        <w:t xml:space="preserve">MmuPV1</w:t>
      </w:r>
      <w:r>
        <w:t xml:space="preserve"> </w:t>
      </w:r>
      <w:r>
        <w:t xml:space="preserve">is a key driver of skin cancer development upon immunosuppression. American Journal of Transplantation. 2021;21(2):525–39</w:t>
      </w:r>
    </w:p>
    <w:bookmarkEnd w:id="96"/>
    <w:bookmarkStart w:id="98" w:name="ref-edgar2022"/>
    <w:p>
      <w:pPr>
        <w:pStyle w:val="Bibliography"/>
      </w:pPr>
      <w:r>
        <w:t xml:space="preserve">Edgar RC, Taylor B, Lin V, Altman T, Barbera P, Meleshko D, et al.</w:t>
      </w:r>
      <w:r>
        <w:t xml:space="preserve"> </w:t>
      </w:r>
      <w:hyperlink r:id="rId97">
        <w:r>
          <w:rPr>
            <w:rStyle w:val="Hyperlink"/>
          </w:rPr>
          <w:t xml:space="preserve">Petabase-scale sequence alignment catalyses viral discovery</w:t>
        </w:r>
      </w:hyperlink>
      <w:r>
        <w:t xml:space="preserve">. Nature. 2022;602:142–7</w:t>
      </w:r>
    </w:p>
    <w:bookmarkEnd w:id="98"/>
    <w:bookmarkStart w:id="100" w:name="ref-fujimoto2019"/>
    <w:p>
      <w:pPr>
        <w:pStyle w:val="Bibliography"/>
      </w:pPr>
      <w:r>
        <w:t xml:space="preserve">Fujimoto M, Matsuzaki I, Takahashi Y, Iwahashi Y, Warigaya K, Kojima F, et al.</w:t>
      </w:r>
      <w:r>
        <w:t xml:space="preserve"> </w:t>
      </w:r>
      <w:hyperlink r:id="rId99">
        <w:r>
          <w:rPr>
            <w:rStyle w:val="Hyperlink"/>
          </w:rPr>
          <w:t xml:space="preserve">High-risk human papillomavirus</w:t>
        </w:r>
        <w:r>
          <w:rPr>
            <w:rStyle w:val="Hyperlink"/>
          </w:rPr>
          <w:t xml:space="preserve"> </w:t>
        </w:r>
        <w:r>
          <w:rPr>
            <w:rStyle w:val="Hyperlink"/>
          </w:rPr>
          <w:t xml:space="preserve">E6/E7</w:t>
        </w:r>
        <w:r>
          <w:rPr>
            <w:rStyle w:val="Hyperlink"/>
          </w:rPr>
          <w:t xml:space="preserve"> </w:t>
        </w:r>
        <w:r>
          <w:rPr>
            <w:rStyle w:val="Hyperlink"/>
          </w:rPr>
          <w:t xml:space="preserve">mRNA</w:t>
        </w:r>
        <w:r>
          <w:rPr>
            <w:rStyle w:val="Hyperlink"/>
          </w:rPr>
          <w:t xml:space="preserve"> </w:t>
        </w:r>
        <w:r>
          <w:rPr>
            <w:rStyle w:val="Hyperlink"/>
          </w:rPr>
          <w:t xml:space="preserve">is rarely detected in nonanogenital cutaneous squamous cell carcinoma: An</w:t>
        </w:r>
        <w:r>
          <w:rPr>
            <w:rStyle w:val="Hyperlink"/>
          </w:rPr>
          <w:t xml:space="preserve"> </w:t>
        </w:r>
        <w:r>
          <w:rPr>
            <w:rStyle w:val="Hyperlink"/>
          </w:rPr>
          <w:t xml:space="preserve">RNA</w:t>
        </w:r>
        <w:r>
          <w:rPr>
            <w:rStyle w:val="Hyperlink"/>
          </w:rPr>
          <w:t xml:space="preserve"> </w:t>
        </w:r>
        <w:r>
          <w:rPr>
            <w:rStyle w:val="Hyperlink"/>
          </w:rPr>
          <w:t xml:space="preserve">in situ hybridization-based tissue microarray study</w:t>
        </w:r>
      </w:hyperlink>
      <w:r>
        <w:t xml:space="preserve">. The American Journal of Dermatopathology. 2019;41(3):205–10</w:t>
      </w:r>
    </w:p>
    <w:bookmarkEnd w:id="100"/>
    <w:bookmarkStart w:id="102" w:name="ref-gihawi2023"/>
    <w:p>
      <w:pPr>
        <w:pStyle w:val="Bibliography"/>
      </w:pPr>
      <w:r>
        <w:t xml:space="preserve">Gihawi A, Ge Y, Lu J, Puiu D, Xu A, Cooper CS, et al.</w:t>
      </w:r>
      <w:r>
        <w:t xml:space="preserve"> </w:t>
      </w:r>
      <w:hyperlink r:id="rId101">
        <w:r>
          <w:rPr>
            <w:rStyle w:val="Hyperlink"/>
          </w:rPr>
          <w:t xml:space="preserve">Major data analysis errors invalidate cancer microbiome findings</w:t>
        </w:r>
      </w:hyperlink>
      <w:r>
        <w:t xml:space="preserve">. mBio. 2023;14(5):e0160723</w:t>
      </w:r>
    </w:p>
    <w:bookmarkEnd w:id="102"/>
    <w:bookmarkStart w:id="104" w:name="ref-rstanarm"/>
    <w:p>
      <w:pPr>
        <w:pStyle w:val="Bibliography"/>
      </w:pPr>
      <w:r>
        <w:t xml:space="preserve">Goodrich B, Gabry J, Ali I, Brilleman S.</w:t>
      </w:r>
      <w:r>
        <w:t xml:space="preserve"> </w:t>
      </w:r>
      <w:r>
        <w:t xml:space="preserve">rstanarm</w:t>
      </w:r>
      <w:r>
        <w:t xml:space="preserve">:</w:t>
      </w:r>
      <w:r>
        <w:t xml:space="preserve"> </w:t>
      </w:r>
      <w:r>
        <w:t xml:space="preserve">Bayesian</w:t>
      </w:r>
      <w:r>
        <w:t xml:space="preserve"> </w:t>
      </w:r>
      <w:r>
        <w:t xml:space="preserve">applied regression modeling via</w:t>
      </w:r>
      <w:r>
        <w:t xml:space="preserve"> </w:t>
      </w:r>
      <w:r>
        <w:t xml:space="preserve">Stan</w:t>
      </w:r>
      <w:r>
        <w:t xml:space="preserve"> </w:t>
      </w:r>
      <w:r>
        <w:t xml:space="preserve">[Internet]. 2024. Available from:</w:t>
      </w:r>
      <w:r>
        <w:t xml:space="preserve"> </w:t>
      </w:r>
      <w:hyperlink r:id="rId103">
        <w:r>
          <w:rPr>
            <w:rStyle w:val="Hyperlink"/>
          </w:rPr>
          <w:t xml:space="preserve">https://mc-stan.org/rstanarm/</w:t>
        </w:r>
      </w:hyperlink>
    </w:p>
    <w:bookmarkEnd w:id="104"/>
    <w:bookmarkStart w:id="105" w:name="ref-howley2015"/>
    <w:p>
      <w:pPr>
        <w:pStyle w:val="Bibliography"/>
      </w:pPr>
      <w:r>
        <w:t xml:space="preserve">Howley PM, Pfister HJ. Beta genus papillomaviruses and skin cancer. Virology. 2015;479-480:290–6</w:t>
      </w:r>
    </w:p>
    <w:bookmarkEnd w:id="105"/>
    <w:bookmarkStart w:id="107" w:name="ref-hultin2019"/>
    <w:p>
      <w:pPr>
        <w:pStyle w:val="Bibliography"/>
      </w:pPr>
      <w:r>
        <w:t xml:space="preserve">Hultin E, Arroyo Mühr LS, Lagheden C, Dillner J.</w:t>
      </w:r>
      <w:r>
        <w:t xml:space="preserve"> </w:t>
      </w:r>
      <w:hyperlink r:id="rId106">
        <w:r>
          <w:rPr>
            <w:rStyle w:val="Hyperlink"/>
          </w:rPr>
          <w:t xml:space="preserve">HPV</w:t>
        </w:r>
        <w:r>
          <w:rPr>
            <w:rStyle w:val="Hyperlink"/>
          </w:rPr>
          <w:t xml:space="preserve"> </w:t>
        </w:r>
        <w:r>
          <w:rPr>
            <w:rStyle w:val="Hyperlink"/>
          </w:rPr>
          <w:t xml:space="preserve">transcription in skin tumors</w:t>
        </w:r>
      </w:hyperlink>
      <w:r>
        <w:t xml:space="preserve">. PLOS ONE. 2019;14(5):e0217942</w:t>
      </w:r>
    </w:p>
    <w:bookmarkEnd w:id="107"/>
    <w:bookmarkStart w:id="109" w:name="ref-kazemian2015"/>
    <w:p>
      <w:pPr>
        <w:pStyle w:val="Bibliography"/>
      </w:pPr>
      <w:r>
        <w:t xml:space="preserve">Kazemian M, Ren M, Lin J-X, Liao W, Spolski R, Leonard WJ.</w:t>
      </w:r>
      <w:r>
        <w:t xml:space="preserve"> </w:t>
      </w:r>
      <w:hyperlink r:id="rId108">
        <w:r>
          <w:rPr>
            <w:rStyle w:val="Hyperlink"/>
          </w:rPr>
          <w:t xml:space="preserve">Possible human papillomavirus 38 contamination of endometrial cancer</w:t>
        </w:r>
        <w:r>
          <w:rPr>
            <w:rStyle w:val="Hyperlink"/>
          </w:rPr>
          <w:t xml:space="preserve"> </w:t>
        </w:r>
        <w:r>
          <w:rPr>
            <w:rStyle w:val="Hyperlink"/>
          </w:rPr>
          <w:t xml:space="preserve">RNA-sequencing</w:t>
        </w:r>
        <w:r>
          <w:rPr>
            <w:rStyle w:val="Hyperlink"/>
          </w:rPr>
          <w:t xml:space="preserve"> </w:t>
        </w:r>
        <w:r>
          <w:rPr>
            <w:rStyle w:val="Hyperlink"/>
          </w:rPr>
          <w:t xml:space="preserve">samples in</w:t>
        </w:r>
        <w:r>
          <w:rPr>
            <w:rStyle w:val="Hyperlink"/>
          </w:rPr>
          <w:t xml:space="preserve"> </w:t>
        </w:r>
        <w:r>
          <w:rPr>
            <w:rStyle w:val="Hyperlink"/>
          </w:rPr>
          <w:t xml:space="preserve">TCGA</w:t>
        </w:r>
      </w:hyperlink>
      <w:r>
        <w:t xml:space="preserve">. Journal of Virology. 2015;89(17):8967–73</w:t>
      </w:r>
    </w:p>
    <w:bookmarkEnd w:id="109"/>
    <w:bookmarkStart w:id="111" w:name="ref-lambert2021"/>
    <w:p>
      <w:pPr>
        <w:pStyle w:val="Bibliography"/>
      </w:pPr>
      <w:r>
        <w:t xml:space="preserve">Lambert PF, Münger K, Rösl F, Hasche D, Tommasino M.</w:t>
      </w:r>
      <w:r>
        <w:t xml:space="preserve"> </w:t>
      </w:r>
      <w:hyperlink r:id="rId110">
        <w:r>
          <w:rPr>
            <w:rStyle w:val="Hyperlink"/>
          </w:rPr>
          <w:t xml:space="preserve">Beta human papillomaviruses and skin cancer</w:t>
        </w:r>
      </w:hyperlink>
      <w:r>
        <w:t xml:space="preserve">. Nature. 2021;588(7838):E20–1</w:t>
      </w:r>
    </w:p>
    <w:bookmarkEnd w:id="111"/>
    <w:bookmarkStart w:id="113" w:name="ref-leiendecker2023"/>
    <w:p>
      <w:pPr>
        <w:pStyle w:val="Bibliography"/>
      </w:pPr>
      <w:r>
        <w:t xml:space="preserve">Leiendecker L, Neumann T, Jung PS, Cronin SM, Steinacker TL, Schleiffer A, et al.</w:t>
      </w:r>
      <w:r>
        <w:t xml:space="preserve"> </w:t>
      </w:r>
      <w:hyperlink r:id="rId112">
        <w:r>
          <w:rPr>
            <w:rStyle w:val="Hyperlink"/>
          </w:rPr>
          <w:t xml:space="preserve">Human papillomavirus 42 drives digital papillary adenocarcinoma and elicits a germ cell-like program conserved in</w:t>
        </w:r>
        <w:r>
          <w:rPr>
            <w:rStyle w:val="Hyperlink"/>
          </w:rPr>
          <w:t xml:space="preserve"> </w:t>
        </w:r>
        <w:r>
          <w:rPr>
            <w:rStyle w:val="Hyperlink"/>
          </w:rPr>
          <w:t xml:space="preserve">HPV</w:t>
        </w:r>
        <w:r>
          <w:rPr>
            <w:rStyle w:val="Hyperlink"/>
          </w:rPr>
          <w:t xml:space="preserve">-positive cancers</w:t>
        </w:r>
      </w:hyperlink>
      <w:r>
        <w:t xml:space="preserve">. Cancer Discovery. 2023;13(1):70–84</w:t>
      </w:r>
    </w:p>
    <w:bookmarkEnd w:id="113"/>
    <w:bookmarkStart w:id="115" w:name="ref-leinonen2011"/>
    <w:p>
      <w:pPr>
        <w:pStyle w:val="Bibliography"/>
      </w:pPr>
      <w:r>
        <w:t xml:space="preserve">Leinonen R, Sugawara H, Shumway M.</w:t>
      </w:r>
      <w:r>
        <w:t xml:space="preserve"> </w:t>
      </w:r>
      <w:hyperlink r:id="rId114">
        <w:r>
          <w:rPr>
            <w:rStyle w:val="Hyperlink"/>
          </w:rPr>
          <w:t xml:space="preserve">The</w:t>
        </w:r>
        <w:r>
          <w:rPr>
            <w:rStyle w:val="Hyperlink"/>
          </w:rPr>
          <w:t xml:space="preserve"> </w:t>
        </w:r>
        <w:r>
          <w:rPr>
            <w:rStyle w:val="Hyperlink"/>
          </w:rPr>
          <w:t xml:space="preserve">Sequence Read Archive</w:t>
        </w:r>
      </w:hyperlink>
      <w:r>
        <w:t xml:space="preserve">. Nucleic Acids Research. 2011;39(Database issue):D19–21</w:t>
      </w:r>
    </w:p>
    <w:bookmarkEnd w:id="115"/>
    <w:bookmarkStart w:id="117" w:name="ref-liao2014"/>
    <w:p>
      <w:pPr>
        <w:pStyle w:val="Bibliography"/>
      </w:pPr>
      <w:r>
        <w:t xml:space="preserve">Liao Y, Smyth GK, Shi W.</w:t>
      </w:r>
      <w:r>
        <w:t xml:space="preserve"> </w:t>
      </w:r>
      <w:hyperlink r:id="rId116">
        <w:r>
          <w:rPr>
            <w:rStyle w:val="Hyperlink"/>
          </w:rPr>
          <w:t xml:space="preserve">featureCounts: An efficient general purpose program for assigning sequence reads to genomic features</w:t>
        </w:r>
      </w:hyperlink>
      <w:r>
        <w:t xml:space="preserve">. Bioinformatics. 2014;30(7):923–30</w:t>
      </w:r>
    </w:p>
    <w:bookmarkEnd w:id="117"/>
    <w:bookmarkStart w:id="119" w:name="ref-ma2014"/>
    <w:p>
      <w:pPr>
        <w:pStyle w:val="Bibliography"/>
      </w:pPr>
      <w:r>
        <w:t xml:space="preserve">Ma Y, Madupu R, Karaoz U, Nossa CW, Yang L, Yooseph S, et al.</w:t>
      </w:r>
      <w:r>
        <w:t xml:space="preserve"> </w:t>
      </w:r>
      <w:hyperlink r:id="rId118">
        <w:r>
          <w:rPr>
            <w:rStyle w:val="Hyperlink"/>
          </w:rPr>
          <w:t xml:space="preserve">Human papillomavirus community in healthy persons, defined by metagenomics analysis of human microbiome project shotgun sequencing data sets</w:t>
        </w:r>
      </w:hyperlink>
      <w:r>
        <w:t xml:space="preserve">. Journal of Virology. 2014;88(9):4786–97</w:t>
      </w:r>
    </w:p>
    <w:bookmarkEnd w:id="119"/>
    <w:bookmarkStart w:id="121" w:name="ref-oh2026"/>
    <w:p>
      <w:pPr>
        <w:pStyle w:val="Bibliography"/>
      </w:pPr>
      <w:r>
        <w:t xml:space="preserve">Oh CC, Tan GS, Ng JWK, Lim TKH, Cheo FF, Tang PY, et al.</w:t>
      </w:r>
      <w:r>
        <w:t xml:space="preserve"> </w:t>
      </w:r>
      <w:hyperlink r:id="rId120">
        <w:r>
          <w:rPr>
            <w:rStyle w:val="Hyperlink"/>
          </w:rPr>
          <w:t xml:space="preserve">Human papillomavirus diversity in asian individuals with cutaneous squamous cell carcinoma</w:t>
        </w:r>
      </w:hyperlink>
      <w:r>
        <w:t xml:space="preserve">. JAMA Dermatology. 2026;162(5):509–14</w:t>
      </w:r>
    </w:p>
    <w:bookmarkEnd w:id="121"/>
    <w:bookmarkStart w:id="123" w:name="ref-purdie2005"/>
    <w:p>
      <w:pPr>
        <w:pStyle w:val="Bibliography"/>
      </w:pPr>
      <w:r>
        <w:t xml:space="preserve">Purdie KJ, Surentheran T, Sterling JC, Bell L, McGregor JM, Proby CM, et al.</w:t>
      </w:r>
      <w:r>
        <w:t xml:space="preserve"> </w:t>
      </w:r>
      <w:hyperlink r:id="rId122">
        <w:r>
          <w:rPr>
            <w:rStyle w:val="Hyperlink"/>
          </w:rPr>
          <w:t xml:space="preserve">Human papillomavirus gene expression in cutaneous squamous cell carcinomas from immunosuppressed and immunocompetent individuals</w:t>
        </w:r>
      </w:hyperlink>
      <w:r>
        <w:t xml:space="preserve">. Journal of Investigative Dermatology. 2005;125(1):98–107</w:t>
      </w:r>
    </w:p>
    <w:bookmarkEnd w:id="123"/>
    <w:bookmarkStart w:id="125" w:name="ref-rehm2022jvi"/>
    <w:p>
      <w:pPr>
        <w:pStyle w:val="Bibliography"/>
      </w:pPr>
      <w:r>
        <w:t xml:space="preserve">Rehm TM, Straub E, Forchhammer S, Leiter U, Iftner T, Stubenrauch F.</w:t>
      </w:r>
      <w:r>
        <w:t xml:space="preserve"> </w:t>
      </w:r>
      <w:hyperlink r:id="rId124">
        <w:r>
          <w:rPr>
            <w:rStyle w:val="Hyperlink"/>
          </w:rPr>
          <w:t xml:space="preserve">Transcription properties of beta-</w:t>
        </w:r>
        <w:r>
          <w:rPr>
            <w:rStyle w:val="Hyperlink"/>
          </w:rPr>
          <w:t xml:space="preserve">HPV8</w:t>
        </w:r>
        <w:r>
          <w:rPr>
            <w:rStyle w:val="Hyperlink"/>
          </w:rPr>
          <w:t xml:space="preserve"> </w:t>
        </w:r>
        <w:r>
          <w:rPr>
            <w:rStyle w:val="Hyperlink"/>
          </w:rPr>
          <w:t xml:space="preserve">and</w:t>
        </w:r>
        <w:r>
          <w:rPr>
            <w:rStyle w:val="Hyperlink"/>
          </w:rPr>
          <w:t xml:space="preserve"> </w:t>
        </w:r>
        <w:r>
          <w:rPr>
            <w:rStyle w:val="Hyperlink"/>
          </w:rPr>
          <w:t xml:space="preserve">HPV38</w:t>
        </w:r>
        <w:r>
          <w:rPr>
            <w:rStyle w:val="Hyperlink"/>
          </w:rPr>
          <w:t xml:space="preserve"> </w:t>
        </w:r>
        <w:r>
          <w:rPr>
            <w:rStyle w:val="Hyperlink"/>
          </w:rPr>
          <w:t xml:space="preserve">genomes in human keratinocytes</w:t>
        </w:r>
      </w:hyperlink>
      <w:r>
        <w:t xml:space="preserve">. Journal of Virology. 2022 a;96(23):e01498–22</w:t>
      </w:r>
    </w:p>
    <w:bookmarkEnd w:id="125"/>
    <w:bookmarkStart w:id="127" w:name="ref-rehm2022"/>
    <w:p>
      <w:pPr>
        <w:pStyle w:val="Bibliography"/>
      </w:pPr>
      <w:r>
        <w:t xml:space="preserve">Rehm TM, Straub E, Iftner T, Stubenrauch F.</w:t>
      </w:r>
      <w:r>
        <w:t xml:space="preserve"> </w:t>
      </w:r>
      <w:hyperlink r:id="rId126">
        <w:r>
          <w:rPr>
            <w:rStyle w:val="Hyperlink"/>
          </w:rPr>
          <w:t xml:space="preserve">Restriction of viral gene expression and replication prevents immortalization of human keratinocytes by a beta-human papillomavirus</w:t>
        </w:r>
      </w:hyperlink>
      <w:r>
        <w:t xml:space="preserve">. Proceedings of the National Academy of Sciences. 2022 b;119(11):e2118930119</w:t>
      </w:r>
    </w:p>
    <w:bookmarkEnd w:id="127"/>
    <w:bookmarkStart w:id="129" w:name="ref-rollison2021"/>
    <w:p>
      <w:pPr>
        <w:pStyle w:val="Bibliography"/>
      </w:pPr>
      <w:r>
        <w:t xml:space="preserve">Rollison DE, Amorrortu RP, Zhao Y, Messina JL, Schell MJ, Fenske NA, et al.</w:t>
      </w:r>
      <w:r>
        <w:t xml:space="preserve"> </w:t>
      </w:r>
      <w:hyperlink r:id="rId128">
        <w:r>
          <w:rPr>
            <w:rStyle w:val="Hyperlink"/>
          </w:rPr>
          <w:t xml:space="preserve">Cutaneous human papillomaviruses and the risk of keratinocyte carcinomas</w:t>
        </w:r>
      </w:hyperlink>
      <w:r>
        <w:t xml:space="preserve">. Cancer Research. 2021;81(17):4628–38</w:t>
      </w:r>
    </w:p>
    <w:bookmarkEnd w:id="129"/>
    <w:bookmarkStart w:id="131" w:name="ref-rollison2019sites"/>
    <w:p>
      <w:pPr>
        <w:pStyle w:val="Bibliography"/>
      </w:pPr>
      <w:r>
        <w:t xml:space="preserve">Rollison DE, Schell MJ, Fenske NA, Cherpelis B, Messina JL, Giuliano AR, et al.</w:t>
      </w:r>
      <w:r>
        <w:t xml:space="preserve"> </w:t>
      </w:r>
      <w:hyperlink r:id="rId130">
        <w:r>
          <w:rPr>
            <w:rStyle w:val="Hyperlink"/>
          </w:rPr>
          <w:t xml:space="preserve">Cutaneous viral infections across 2 anatomic sites among a cohort of patients undergoing skin cancer screening</w:t>
        </w:r>
      </w:hyperlink>
      <w:r>
        <w:t xml:space="preserve">. The Journal of Infectious Diseases. 2019 a;219(5):711–22</w:t>
      </w:r>
    </w:p>
    <w:bookmarkEnd w:id="131"/>
    <w:bookmarkStart w:id="133" w:name="ref-rollison2019"/>
    <w:p>
      <w:pPr>
        <w:pStyle w:val="Bibliography"/>
      </w:pPr>
      <w:r>
        <w:t xml:space="preserve">Rollison DE, Viarisio D, Amorrortu RP, Gheit T, Tommasino M.</w:t>
      </w:r>
      <w:r>
        <w:t xml:space="preserve"> </w:t>
      </w:r>
      <w:hyperlink r:id="rId132">
        <w:r>
          <w:rPr>
            <w:rStyle w:val="Hyperlink"/>
          </w:rPr>
          <w:t xml:space="preserve">An emerging issue in oncogenic virology: The role of beta human papillomavirus types in the development of cutaneous squamous cell carcinoma</w:t>
        </w:r>
      </w:hyperlink>
      <w:r>
        <w:t xml:space="preserve">. Journal of Virology. 2019 b;93(7):e01003–18</w:t>
      </w:r>
    </w:p>
    <w:bookmarkEnd w:id="133"/>
    <w:bookmarkStart w:id="135" w:name="ref-saeidian2023"/>
    <w:p>
      <w:pPr>
        <w:pStyle w:val="Bibliography"/>
      </w:pPr>
      <w:r>
        <w:t xml:space="preserve">Saeidian AH, Youssefian L, Naji M, Mahmoudi H, Barnada SM, Huang C, et al.</w:t>
      </w:r>
      <w:r>
        <w:t xml:space="preserve"> </w:t>
      </w:r>
      <w:hyperlink r:id="rId134">
        <w:r>
          <w:rPr>
            <w:rStyle w:val="Hyperlink"/>
          </w:rPr>
          <w:t xml:space="preserve">Whole transcriptome–based skin virome profiling in typical epidermodysplasia verruciformis reveals</w:t>
        </w:r>
        <w:r>
          <w:rPr>
            <w:rStyle w:val="Hyperlink"/>
          </w:rPr>
          <w:t xml:space="preserve"> </w:t>
        </w:r>
        <m:oMath>
          <m:r>
            <m:t>α</m:t>
          </m:r>
        </m:oMath>
        <w:r>
          <w:rPr>
            <w:rStyle w:val="Hyperlink"/>
          </w:rPr>
          <w:t xml:space="preserve">-,</w:t>
        </w:r>
        <w:r>
          <w:rPr>
            <w:rStyle w:val="Hyperlink"/>
          </w:rPr>
          <w:t xml:space="preserve"> </w:t>
        </w:r>
        <m:oMath>
          <m:r>
            <m:t>β</m:t>
          </m:r>
        </m:oMath>
        <w:r>
          <w:rPr>
            <w:rStyle w:val="Hyperlink"/>
          </w:rPr>
          <w:t xml:space="preserve">-, and</w:t>
        </w:r>
        <w:r>
          <w:rPr>
            <w:rStyle w:val="Hyperlink"/>
          </w:rPr>
          <w:t xml:space="preserve"> </w:t>
        </w:r>
        <m:oMath>
          <m:r>
            <m:t>γ</m:t>
          </m:r>
        </m:oMath>
        <w:r>
          <w:rPr>
            <w:rStyle w:val="Hyperlink"/>
          </w:rPr>
          <w:t xml:space="preserve">-</w:t>
        </w:r>
        <w:r>
          <w:rPr>
            <w:rStyle w:val="Hyperlink"/>
          </w:rPr>
          <w:t xml:space="preserve">HPV</w:t>
        </w:r>
        <w:r>
          <w:rPr>
            <w:rStyle w:val="Hyperlink"/>
          </w:rPr>
          <w:t xml:space="preserve"> </w:t>
        </w:r>
        <w:r>
          <w:rPr>
            <w:rStyle w:val="Hyperlink"/>
          </w:rPr>
          <w:t xml:space="preserve">infections</w:t>
        </w:r>
      </w:hyperlink>
      <w:r>
        <w:t xml:space="preserve">. JCI Insight. 2023;8(5):e162558</w:t>
      </w:r>
    </w:p>
    <w:bookmarkEnd w:id="135"/>
    <w:bookmarkStart w:id="137" w:name="ref-sankovski2014"/>
    <w:p>
      <w:pPr>
        <w:pStyle w:val="Bibliography"/>
      </w:pPr>
      <w:r>
        <w:t xml:space="preserve">Sankovski E, Männik A, Geimanen J, Ustav E, Ustav M.</w:t>
      </w:r>
      <w:r>
        <w:t xml:space="preserve"> </w:t>
      </w:r>
      <w:hyperlink r:id="rId136">
        <w:r>
          <w:rPr>
            <w:rStyle w:val="Hyperlink"/>
          </w:rPr>
          <w:t xml:space="preserve">Mapping of betapapillomavirus human papillomavirus 5 transcription and characterization of viral-genome replication function</w:t>
        </w:r>
      </w:hyperlink>
      <w:r>
        <w:t xml:space="preserve">. Journal of Virology. 2014;88(2):961–73</w:t>
      </w:r>
    </w:p>
    <w:bookmarkEnd w:id="137"/>
    <w:bookmarkStart w:id="139" w:name="ref-selitsky2020"/>
    <w:p>
      <w:pPr>
        <w:pStyle w:val="Bibliography"/>
      </w:pPr>
      <w:r>
        <w:t xml:space="preserve">Selitsky SR, Marron D, Hollern D, Mose LE, Hoadley KA, Jones C, et al.</w:t>
      </w:r>
      <w:r>
        <w:t xml:space="preserve"> </w:t>
      </w:r>
      <w:hyperlink r:id="rId138">
        <w:r>
          <w:rPr>
            <w:rStyle w:val="Hyperlink"/>
          </w:rPr>
          <w:t xml:space="preserve">Virus expression detection reveals</w:t>
        </w:r>
        <w:r>
          <w:rPr>
            <w:rStyle w:val="Hyperlink"/>
          </w:rPr>
          <w:t xml:space="preserve"> </w:t>
        </w:r>
        <w:r>
          <w:rPr>
            <w:rStyle w:val="Hyperlink"/>
          </w:rPr>
          <w:t xml:space="preserve">RNA</w:t>
        </w:r>
        <w:r>
          <w:rPr>
            <w:rStyle w:val="Hyperlink"/>
          </w:rPr>
          <w:t xml:space="preserve">-sequencing contamination in</w:t>
        </w:r>
        <w:r>
          <w:rPr>
            <w:rStyle w:val="Hyperlink"/>
          </w:rPr>
          <w:t xml:space="preserve"> </w:t>
        </w:r>
        <w:r>
          <w:rPr>
            <w:rStyle w:val="Hyperlink"/>
          </w:rPr>
          <w:t xml:space="preserve">TCGA</w:t>
        </w:r>
      </w:hyperlink>
      <w:r>
        <w:t xml:space="preserve">. BMC Genomics. 2020;21(1):79</w:t>
      </w:r>
    </w:p>
    <w:bookmarkEnd w:id="139"/>
    <w:bookmarkStart w:id="141" w:name="ref-shenpv2026"/>
    <w:p>
      <w:pPr>
        <w:pStyle w:val="Bibliography"/>
      </w:pPr>
      <w:r>
        <w:t xml:space="preserve">Shen JYQ, Chikhi R, Korobeynikov A, Babaian A.</w:t>
      </w:r>
      <w:r>
        <w:t xml:space="preserve"> </w:t>
      </w:r>
      <w:hyperlink r:id="rId140">
        <w:r>
          <w:rPr>
            <w:rStyle w:val="Hyperlink"/>
          </w:rPr>
          <w:t xml:space="preserve">Petabase-scale papillomavirus discovery</w:t>
        </w:r>
      </w:hyperlink>
      <w:r>
        <w:t xml:space="preserve">. bioRxiv. 2026;</w:t>
      </w:r>
    </w:p>
    <w:bookmarkEnd w:id="141"/>
    <w:bookmarkStart w:id="143" w:name="ref-shen2016"/>
    <w:p>
      <w:pPr>
        <w:pStyle w:val="Bibliography"/>
      </w:pPr>
      <w:r>
        <w:t xml:space="preserve">Shen W, Le S, Li Y, Hu F.</w:t>
      </w:r>
      <w:r>
        <w:t xml:space="preserve"> </w:t>
      </w:r>
      <w:hyperlink r:id="rId142">
        <w:r>
          <w:rPr>
            <w:rStyle w:val="Hyperlink"/>
          </w:rPr>
          <w:t xml:space="preserve">SeqKit</w:t>
        </w:r>
        <w:r>
          <w:rPr>
            <w:rStyle w:val="Hyperlink"/>
          </w:rPr>
          <w:t xml:space="preserve">: A cross-platform and ultrafast toolkit for</w:t>
        </w:r>
        <w:r>
          <w:rPr>
            <w:rStyle w:val="Hyperlink"/>
          </w:rPr>
          <w:t xml:space="preserve"> </w:t>
        </w:r>
        <w:r>
          <w:rPr>
            <w:rStyle w:val="Hyperlink"/>
          </w:rPr>
          <w:t xml:space="preserve">FASTA/Q</w:t>
        </w:r>
        <w:r>
          <w:rPr>
            <w:rStyle w:val="Hyperlink"/>
          </w:rPr>
          <w:t xml:space="preserve"> </w:t>
        </w:r>
        <w:r>
          <w:rPr>
            <w:rStyle w:val="Hyperlink"/>
          </w:rPr>
          <w:t xml:space="preserve">file manipulation</w:t>
        </w:r>
      </w:hyperlink>
      <w:r>
        <w:t xml:space="preserve">. PLoS ONE. 2016;11(10):e0163962</w:t>
      </w:r>
    </w:p>
    <w:bookmarkEnd w:id="143"/>
    <w:bookmarkStart w:id="145" w:name="ref-son2025"/>
    <w:p>
      <w:pPr>
        <w:pStyle w:val="Bibliography"/>
      </w:pPr>
      <w:r>
        <w:t xml:space="preserve">Son HG, Ha DT, Xia Y, Li T, Blandin J, Oka T, et al.</w:t>
      </w:r>
      <w:r>
        <w:t xml:space="preserve"> </w:t>
      </w:r>
      <w:hyperlink r:id="rId144">
        <w:r>
          <w:rPr>
            <w:rStyle w:val="Hyperlink"/>
          </w:rPr>
          <w:t xml:space="preserve">Commensal papillomavirus immunity preserves the homeostasis of highly mutated normal skin</w:t>
        </w:r>
      </w:hyperlink>
      <w:r>
        <w:t xml:space="preserve">. Cancer Cell. 2025;43(1):36–48.e10</w:t>
      </w:r>
    </w:p>
    <w:bookmarkEnd w:id="145"/>
    <w:bookmarkStart w:id="147" w:name="ref-strickley2019"/>
    <w:p>
      <w:pPr>
        <w:pStyle w:val="Bibliography"/>
      </w:pPr>
      <w:r>
        <w:t xml:space="preserve">Strickley JD, Messerschmidt JL, Awad ME, Li T, Hasegawa T, Ha DT, et al.</w:t>
      </w:r>
      <w:r>
        <w:t xml:space="preserve"> </w:t>
      </w:r>
      <w:hyperlink r:id="rId146">
        <w:r>
          <w:rPr>
            <w:rStyle w:val="Hyperlink"/>
          </w:rPr>
          <w:t xml:space="preserve">Immunity to commensal papillomaviruses protects against skin cancer</w:t>
        </w:r>
      </w:hyperlink>
      <w:r>
        <w:t xml:space="preserve">. Nature. 2019;575(7783):519–22</w:t>
      </w:r>
    </w:p>
    <w:bookmarkEnd w:id="147"/>
    <w:bookmarkStart w:id="149" w:name="ref-strickley2021"/>
    <w:p>
      <w:pPr>
        <w:pStyle w:val="Bibliography"/>
      </w:pPr>
      <w:r>
        <w:t xml:space="preserve">Strickley JD, Messerschmidt JL, Jenson AB, Joh J, Demehri S.</w:t>
      </w:r>
      <w:r>
        <w:t xml:space="preserve"> </w:t>
      </w:r>
      <w:hyperlink r:id="rId148">
        <w:r>
          <w:rPr>
            <w:rStyle w:val="Hyperlink"/>
          </w:rPr>
          <w:t xml:space="preserve">Reply to: Beta human papillomaviruses and skin cancer</w:t>
        </w:r>
      </w:hyperlink>
      <w:r>
        <w:t xml:space="preserve">. Nature. 2021;588(7838):E22–3</w:t>
      </w:r>
    </w:p>
    <w:bookmarkEnd w:id="149"/>
    <w:bookmarkStart w:id="151" w:name="ref-vandoorslaer2017"/>
    <w:p>
      <w:pPr>
        <w:pStyle w:val="Bibliography"/>
      </w:pPr>
      <w:r>
        <w:t xml:space="preserve">Van Doorslaer K, Li Z, Xirasagar S, Maes P, Kaminsky D, Liou D, et al.</w:t>
      </w:r>
      <w:r>
        <w:t xml:space="preserve"> </w:t>
      </w:r>
      <w:hyperlink r:id="rId150">
        <w:r>
          <w:rPr>
            <w:rStyle w:val="Hyperlink"/>
          </w:rPr>
          <w:t xml:space="preserve">The</w:t>
        </w:r>
        <w:r>
          <w:rPr>
            <w:rStyle w:val="Hyperlink"/>
          </w:rPr>
          <w:t xml:space="preserve"> </w:t>
        </w:r>
        <w:r>
          <w:rPr>
            <w:rStyle w:val="Hyperlink"/>
          </w:rPr>
          <w:t xml:space="preserve">Papillomavirus Episteme</w:t>
        </w:r>
        <w:r>
          <w:rPr>
            <w:rStyle w:val="Hyperlink"/>
          </w:rPr>
          <w:t xml:space="preserve">: A major update to the papillomavirus sequence database</w:t>
        </w:r>
      </w:hyperlink>
      <w:r>
        <w:t xml:space="preserve">. Nucleic Acids Research. 2017;45(D1):D499–506</w:t>
      </w:r>
    </w:p>
    <w:bookmarkEnd w:id="151"/>
    <w:bookmarkStart w:id="153" w:name="ref-vandiver2021"/>
    <w:p>
      <w:pPr>
        <w:pStyle w:val="Bibliography"/>
      </w:pPr>
      <w:r>
        <w:t xml:space="preserve">Vandiver AR, Thomas BJ, Karimzada M, Knowles BC, Botten GA, Spreafico R, et al.</w:t>
      </w:r>
      <w:r>
        <w:t xml:space="preserve"> </w:t>
      </w:r>
      <w:hyperlink r:id="rId152">
        <w:r>
          <w:rPr>
            <w:rStyle w:val="Hyperlink"/>
          </w:rPr>
          <w:t xml:space="preserve">Detection of viral gene expression in risk-stratified biopsies reveals no active</w:t>
        </w:r>
        <w:r>
          <w:rPr>
            <w:rStyle w:val="Hyperlink"/>
          </w:rPr>
          <w:t xml:space="preserve"> </w:t>
        </w:r>
        <w:r>
          <w:rPr>
            <w:rStyle w:val="Hyperlink"/>
          </w:rPr>
          <w:t xml:space="preserve">HPV</w:t>
        </w:r>
        <w:r>
          <w:rPr>
            <w:rStyle w:val="Hyperlink"/>
          </w:rPr>
          <w:t xml:space="preserve"> </w:t>
        </w:r>
        <w:r>
          <w:rPr>
            <w:rStyle w:val="Hyperlink"/>
          </w:rPr>
          <w:t xml:space="preserve">in cutaneous squamous cell carcinoma</w:t>
        </w:r>
      </w:hyperlink>
      <w:r>
        <w:t xml:space="preserve">. Experimental Dermatology. 2021;30(11):1711–6</w:t>
      </w:r>
    </w:p>
    <w:bookmarkEnd w:id="153"/>
    <w:bookmarkStart w:id="155" w:name="ref-viarisio2018"/>
    <w:p>
      <w:pPr>
        <w:pStyle w:val="Bibliography"/>
      </w:pPr>
      <w:r>
        <w:t xml:space="preserve">Viarisio D, Müller-Decker K, Accardi R, Robitaille A, Dürst M, Beer K, et al.</w:t>
      </w:r>
      <w:r>
        <w:t xml:space="preserve"> </w:t>
      </w:r>
      <w:hyperlink r:id="rId154">
        <w:r>
          <w:rPr>
            <w:rStyle w:val="Hyperlink"/>
          </w:rPr>
          <w:t xml:space="preserve">Beta</w:t>
        </w:r>
        <w:r>
          <w:rPr>
            <w:rStyle w:val="Hyperlink"/>
          </w:rPr>
          <w:t xml:space="preserve"> </w:t>
        </w:r>
        <w:r>
          <w:rPr>
            <w:rStyle w:val="Hyperlink"/>
          </w:rPr>
          <w:t xml:space="preserve">HPV38</w:t>
        </w:r>
        <w:r>
          <w:rPr>
            <w:rStyle w:val="Hyperlink"/>
          </w:rPr>
          <w:t xml:space="preserve"> </w:t>
        </w:r>
        <w:r>
          <w:rPr>
            <w:rStyle w:val="Hyperlink"/>
          </w:rPr>
          <w:t xml:space="preserve">oncoproteins act with a hit-and-run mechanism in ultraviolet radiation-induced skin carcinogenesis in mice</w:t>
        </w:r>
      </w:hyperlink>
      <w:r>
        <w:t xml:space="preserve">. PLoS Pathogens. 2018;14(1):e1006783</w:t>
      </w:r>
    </w:p>
    <w:bookmarkEnd w:id="155"/>
    <w:bookmarkStart w:id="157" w:name="ref-weissenborn2012"/>
    <w:p>
      <w:pPr>
        <w:pStyle w:val="Bibliography"/>
      </w:pPr>
      <w:r>
        <w:t xml:space="preserve">Weissenborn S, Neale RE, Waterboer T, Abeni D, Bouwes Bavinck JN, Green AC, et al.</w:t>
      </w:r>
      <w:r>
        <w:t xml:space="preserve"> </w:t>
      </w:r>
      <w:hyperlink r:id="rId156">
        <w:r>
          <w:rPr>
            <w:rStyle w:val="Hyperlink"/>
          </w:rPr>
          <w:t xml:space="preserve">Beta-papillomavirus</w:t>
        </w:r>
        <w:r>
          <w:rPr>
            <w:rStyle w:val="Hyperlink"/>
          </w:rPr>
          <w:t xml:space="preserve"> </w:t>
        </w:r>
        <w:r>
          <w:rPr>
            <w:rStyle w:val="Hyperlink"/>
          </w:rPr>
          <w:t xml:space="preserve">DNA</w:t>
        </w:r>
        <w:r>
          <w:rPr>
            <w:rStyle w:val="Hyperlink"/>
          </w:rPr>
          <w:t xml:space="preserve"> </w:t>
        </w:r>
        <w:r>
          <w:rPr>
            <w:rStyle w:val="Hyperlink"/>
          </w:rPr>
          <w:t xml:space="preserve">loads in hair follicles of immunocompetent people and organ transplant recipients</w:t>
        </w:r>
      </w:hyperlink>
      <w:r>
        <w:t xml:space="preserve">. Medical Microbiology and Immunology. 2012;201(2):117–25</w:t>
      </w:r>
    </w:p>
    <w:bookmarkEnd w:id="157"/>
    <w:bookmarkStart w:id="159" w:name="ref-wenande2025"/>
    <w:p>
      <w:pPr>
        <w:pStyle w:val="Bibliography"/>
      </w:pPr>
      <w:r>
        <w:t xml:space="preserve">Wenande E, Hastrup A, Wiegell S, Philipsen PA, Thomsen NB, Demehri S, et al.</w:t>
      </w:r>
      <w:r>
        <w:t xml:space="preserve"> </w:t>
      </w:r>
      <w:hyperlink r:id="rId158">
        <w:r>
          <w:rPr>
            <w:rStyle w:val="Hyperlink"/>
          </w:rPr>
          <w:t xml:space="preserve">Human papillomavirus vaccination and actinic keratosis burden: The</w:t>
        </w:r>
        <w:r>
          <w:rPr>
            <w:rStyle w:val="Hyperlink"/>
          </w:rPr>
          <w:t xml:space="preserve"> </w:t>
        </w:r>
        <w:r>
          <w:rPr>
            <w:rStyle w:val="Hyperlink"/>
          </w:rPr>
          <w:t xml:space="preserve">VAXAK</w:t>
        </w:r>
        <w:r>
          <w:rPr>
            <w:rStyle w:val="Hyperlink"/>
          </w:rPr>
          <w:t xml:space="preserve"> </w:t>
        </w:r>
        <w:r>
          <w:rPr>
            <w:rStyle w:val="Hyperlink"/>
          </w:rPr>
          <w:t xml:space="preserve">randomized clinical trial</w:t>
        </w:r>
      </w:hyperlink>
      <w:r>
        <w:t xml:space="preserve">. JAMA Dermatology. 2025;161(6):605–14</w:t>
      </w:r>
    </w:p>
    <w:bookmarkEnd w:id="159"/>
    <w:bookmarkStart w:id="161" w:name="ref-wood2019"/>
    <w:p>
      <w:pPr>
        <w:pStyle w:val="Bibliography"/>
      </w:pPr>
      <w:r>
        <w:t xml:space="preserve">Wood DE, Lu J, Langmead B.</w:t>
      </w:r>
      <w:r>
        <w:t xml:space="preserve"> </w:t>
      </w:r>
      <w:hyperlink r:id="rId160">
        <w:r>
          <w:rPr>
            <w:rStyle w:val="Hyperlink"/>
          </w:rPr>
          <w:t xml:space="preserve">Improved metagenomic analysis with</w:t>
        </w:r>
        <w:r>
          <w:rPr>
            <w:rStyle w:val="Hyperlink"/>
          </w:rPr>
          <w:t xml:space="preserve"> </w:t>
        </w:r>
        <w:r>
          <w:rPr>
            <w:rStyle w:val="Hyperlink"/>
          </w:rPr>
          <w:t xml:space="preserve">Kraken 2</w:t>
        </w:r>
      </w:hyperlink>
      <w:r>
        <w:t xml:space="preserve">. Genome Biology. 2019;20:257</w:t>
      </w:r>
    </w:p>
    <w:bookmarkEnd w:id="161"/>
    <w:bookmarkEnd w:id="162"/>
    <w:bookmarkEnd w:id="163"/>
    <w:bookmarkStart w:id="209" w:name="supplementary-material"/>
    <w:p>
      <w:pPr>
        <w:pStyle w:val="Heading1"/>
      </w:pPr>
      <w:r>
        <w:t xml:space="preserve">Supplementary Material</w:t>
      </w:r>
    </w:p>
    <w:bookmarkStart w:id="164" w:name="supplementary-materials-and-methods"/>
    <w:p>
      <w:pPr>
        <w:pStyle w:val="Heading2"/>
      </w:pPr>
      <w:r>
        <w:t xml:space="preserve">Supplementary Materials and Methods</w:t>
      </w:r>
    </w:p>
    <w:bookmarkEnd w:id="164"/>
    <w:bookmarkStart w:id="178" w:name="methods"/>
    <w:p>
      <w:pPr>
        <w:pStyle w:val="Heading2"/>
      </w:pPr>
      <w:r>
        <w:t xml:space="preserve">Methods</w:t>
      </w:r>
    </w:p>
    <w:bookmarkStart w:id="165"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65"/>
    <w:bookmarkStart w:id="166"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et al.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66"/>
    <w:bookmarkStart w:id="167"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67"/>
    <w:bookmarkStart w:id="168"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et al.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10,834 screened libraries (5th percentile 85.5%), the small shortfall being fastp quality and length filtering, and the per-group medians span 95.8% to 99.5%, so no sample group was read less completely than another.</w:t>
      </w:r>
    </w:p>
    <w:bookmarkEnd w:id="168"/>
    <w:bookmarkStart w:id="169"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69"/>
    <w:bookmarkStart w:id="170"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70"/>
    <w:bookmarkStart w:id="171"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et al.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71"/>
    <w:bookmarkStart w:id="172"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et al.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72"/>
    <w:bookmarkStart w:id="173"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sample groups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Three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group,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(iii)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16 of 11,282 screened libraries.</w:t>
      </w:r>
    </w:p>
    <w:p>
      <w:pPr>
        <w:pStyle w:val="BodyText"/>
      </w:pPr>
      <w:r>
        <w:t xml:space="preserve">Two further sets of libraries were excluded outright rather than regrouped, because neither a null nor a control describes them. First, 433 16S rRNA amplicon libraries: an amplicon library carries no HPV sequence that could be detected whatever the infection status, so these are structural zeros rather than negative observations, and leaving them in would deflate the background rate every comparison is measured against. Second,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which are the matched adjacent tissue of five condyloma acuminatum donors, each sequenced as an RNA-seq library plus a MeRIP input and IP fraction. Tissue taken millimeters from a productive lesion cannot separate independent infection from spillover out of that lesion, so a detection there is not evidence of virus in the absence of disease, and five donors in three fractions each is one comparison rather than a population. Their lesions are retained in</w:t>
      </w:r>
      <w:r>
        <w:t xml:space="preserve"> </w:t>
      </w:r>
      <w:r>
        <w:rPr>
          <w:rStyle w:val="VerbatimChar"/>
        </w:rPr>
        <w:t xml:space="preserve">control_productive</w:t>
      </w:r>
      <w:r>
        <w:t xml:space="preserve">, so neither the productive contrast nor the detection floor calibrated on it is affected. The analyzed cohort is therefore 10,834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group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group difference was not an artifact of depth, the fraction of libraries at or above the detection floor was additionally computed within matched total-read bins (&lt;5M, 5–10M, 10–20M, 20–40M, &gt;40M). The same per-sample table also yielded an HPV-type × sample-group catalog. This analysis pooled the lesion cohorts against the prevalence-sweep null and used the curated cell-line flags. Logistic-regression models (positivity by sample class; productive-level detection by sample group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73"/>
    <w:bookmarkStart w:id="174"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74.6%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6,736 of 10,834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74"/>
    <w:bookmarkStart w:id="175"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groups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group</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75"/>
    <w:bookmarkStart w:id="176" w:name="X100e545f3d9e395267e0fa4a0c685cbdafc7ff0"/>
    <w:p>
      <w:pPr>
        <w:pStyle w:val="Heading3"/>
      </w:pPr>
      <w:r>
        <w:t xml:space="preserve">Independent DNA reservoir from public metagenomes</w:t>
      </w:r>
    </w:p>
    <w:p>
      <w:pPr>
        <w:pStyle w:val="FirstParagraph"/>
      </w:pPr>
      <w:r>
        <w:t xml:space="preserve">The presence axis against which the transcriptional result is read comes from a published petabase-scale papillomavirus catalog rather than from our own pipeline. Shen et al. screened the Logan assembly of 27 million archived sequencing libraries</w:t>
      </w:r>
      <w:r>
        <w:t xml:space="preserve"> </w:t>
      </w:r>
      <w:r>
        <w:t xml:space="preserve">(Chikhi et al. 2024)</w:t>
      </w:r>
      <w:r>
        <w:t xml:space="preserve"> </w:t>
      </w:r>
      <w:r>
        <w:t xml:space="preserve">for papillomavirus contigs by profile-HMM detection of the conserved L1 B and I domains and clustered them into operational types</w:t>
      </w:r>
      <w:r>
        <w:t xml:space="preserve"> </w:t>
      </w:r>
      <w:r>
        <w:t xml:space="preserve">(Shen et al. 2026)</w:t>
      </w:r>
      <w:r>
        <w:t xml:space="preserve">; we re-tabulated their released cluster-by-library table by body site. Libraries were bucketed by the BioSample organism field into skin (</w:t>
      </w:r>
      <w:r>
        <w:rPr>
          <w:rStyle w:val="VerbatimChar"/>
        </w:rPr>
        <w:t xml:space="preserve">human skin metagenome</w:t>
      </w:r>
      <w:r>
        <w:t xml:space="preserve">,</w:t>
      </w:r>
      <w:r>
        <w:t xml:space="preserve"> </w:t>
      </w:r>
      <w:r>
        <w:rPr>
          <w:rStyle w:val="VerbatimChar"/>
        </w:rPr>
        <w:t xml:space="preserve">skin metagenome</w:t>
      </w:r>
      <w:r>
        <w:t xml:space="preserve">), vaginal and gut metagenomes. The skin taxon also carries environmental transit surfaces and non-human animal skin, which were removed with a curated run exclusion list built from BioSample attributes (</w:t>
      </w:r>
      <w:r>
        <w:rPr>
          <w:rStyle w:val="VerbatimChar"/>
        </w:rPr>
        <w:t xml:space="preserve">bin/build_skin_run_exclusions.py</w:t>
      </w:r>
      <w:r>
        <w:t xml:space="preserve">). Each contig cluster was mapped to an HPV type through the study’s own taxonomy demarcation table and then to a genus through the same type-to-genus map used for our RNA catalogs, so the two modalities are labeled identically; a cluster with a papillomavirus identity that resolves to no genus is reported as</w:t>
      </w:r>
      <w:r>
        <w:t xml:space="preserve"> </w:t>
      </w:r>
      <w:r>
        <w:rPr>
          <w:i/>
          <w:iCs/>
        </w:rPr>
        <w:t xml:space="preserve">Unresolved</w:t>
      </w:r>
      <w:r>
        <w:t xml:space="preserve"> </w:t>
      </w:r>
      <w:r>
        <w:t xml:space="preserve">and one with no reference match as</w:t>
      </w:r>
      <w:r>
        <w:t xml:space="preserve"> </w:t>
      </w:r>
      <w:r>
        <w:rPr>
          <w:i/>
          <w:iCs/>
        </w:rPr>
        <w:t xml:space="preserve">Novel</w:t>
      </w:r>
      <w:r>
        <w:t xml:space="preserve">.</w:t>
      </w:r>
    </w:p>
    <w:p>
      <w:pPr>
        <w:pStyle w:val="BodyText"/>
      </w:pPr>
      <w:r>
        <w:t xml:space="preserve">All quantities from this catalog are compositions conditional on positivity: the denominator is the HPV-positive libraries of a body site, and a library carrying types of two genera contributes to both, so genus proportions within a site do not sum to one. No prevalence is computed from the catalog, since a defensible denominator would require the screened-library count per body site to be reconstructed under the same freeze applied to the numerator. The type-level comparison against our own data joins the reservoir types onto both RNA catalogs, the assigned catalog (</w:t>
      </w:r>
      <w:hyperlink w:anchor="supptbl-types">
        <w:r>
          <w:rPr>
            <w:rStyle w:val="Hyperlink"/>
          </w:rPr>
          <w:t xml:space="preserve">Table S1</w:t>
        </w:r>
      </w:hyperlink>
      <w:r>
        <w:t xml:space="preserve">) and the trace catalog (</w:t>
      </w:r>
      <w:hyperlink w:anchor="supptbl-trace">
        <w:r>
          <w:rPr>
            <w:rStyle w:val="Hyperlink"/>
          </w:rPr>
          <w:t xml:space="preserve">Table S6</w:t>
        </w:r>
      </w:hyperlink>
      <w:r>
        <w:t xml:space="preserve">, at least five best-hit reads, MAPQ ≥ 20, and a majority of the library’s primary alignments on that reference), so that a type below the assignment threshold in skin RNA is reported as a trace detection and never as an absence. This tabulation is implemented in</w:t>
      </w:r>
      <w:r>
        <w:t xml:space="preserve"> </w:t>
      </w:r>
      <w:r>
        <w:rPr>
          <w:rStyle w:val="VerbatimChar"/>
        </w:rPr>
        <w:t xml:space="preserve">dna_rna_triangulation/shen_reservoir_by_tissue.R</w:t>
      </w:r>
      <w:r>
        <w:t xml:space="preserve"> </w:t>
      </w:r>
      <w:r>
        <w:t xml:space="preserve">and</w:t>
      </w:r>
      <w:r>
        <w:t xml:space="preserve"> </w:t>
      </w:r>
      <w:r>
        <w:rPr>
          <w:rStyle w:val="VerbatimChar"/>
        </w:rPr>
        <w:t xml:space="preserve">dna_rna_triangulation/skin_dna_vs_rna_corrected.R</w:t>
      </w:r>
      <w:r>
        <w:t xml:space="preserve">, and</w:t>
      </w:r>
      <w:r>
        <w:t xml:space="preserve"> </w:t>
      </w:r>
      <w:hyperlink w:anchor="fig-reservoir">
        <w:r>
          <w:rPr>
            <w:rStyle w:val="Hyperlink"/>
          </w:rPr>
          <w:t xml:space="preserve">Figure 5</w:t>
        </w:r>
      </w:hyperlink>
      <w:r>
        <w:t xml:space="preserve"> </w:t>
      </w:r>
      <w:r>
        <w:t xml:space="preserve">is built from their outputs by</w:t>
      </w:r>
      <w:r>
        <w:t xml:space="preserve"> </w:t>
      </w:r>
      <w:r>
        <w:rPr>
          <w:rStyle w:val="VerbatimChar"/>
        </w:rPr>
        <w:t xml:space="preserve">manuscript/figure_reservoir.R</w:t>
      </w:r>
      <w:r>
        <w:t xml:space="preserve">.</w:t>
      </w:r>
    </w:p>
    <w:bookmarkEnd w:id="176"/>
    <w:bookmarkStart w:id="177"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77"/>
    <w:bookmarkEnd w:id="178"/>
    <w:bookmarkStart w:id="206" w:name="supplementary-figures-and-tables"/>
    <w:p>
      <w:pPr>
        <w:pStyle w:val="Heading2"/>
      </w:pPr>
      <w:r>
        <w:t xml:space="preserve">Supplementary Figures and Tables</w:t>
      </w:r>
    </w:p>
    <w:tbl>
      <w:tblPr>
        <w:tblStyle w:val="Table"/>
        <w:tblW w:type="pct" w:w="5000"/>
        <w:tblLayout w:type="fixed"/>
        <w:tblLook w:firstRow="0" w:lastRow="0" w:firstColumn="0" w:lastColumn="0" w:noHBand="0" w:noVBand="0" w:val="0000"/>
      </w:tblPr>
      <w:tblGrid>
        <w:gridCol w:w="7920"/>
      </w:tblGrid>
      <w:tr>
        <w:tc>
          <w:tcPr/>
          <w:bookmarkStart w:id="182" w:name="suppfig-depth"/>
          <w:p>
            <w:pPr>
              <w:pStyle w:val="Compact"/>
              <w:jc w:val="center"/>
            </w:pPr>
            <w:r>
              <w:drawing>
                <wp:inline>
                  <wp:extent cx="5943600" cy="3714749"/>
                  <wp:effectExtent b="0" l="0" r="0" t="0"/>
                  <wp:docPr descr="" title="" id="180" name="Picture"/>
                  <a:graphic>
                    <a:graphicData uri="http://schemas.openxmlformats.org/drawingml/2006/picture">
                      <pic:pic>
                        <pic:nvPicPr>
                          <pic:cNvPr descr="figureS1.png" id="181" name="Picture"/>
                          <pic:cNvPicPr>
                            <a:picLocks noChangeArrowheads="1" noChangeAspect="1"/>
                          </pic:cNvPicPr>
                        </pic:nvPicPr>
                        <pic:blipFill>
                          <a:blip r:embed="rId179"/>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sample group, the percentage of libraries reaching the control-calibrated detection floor (13.2 RPM) is plotted within five total-read bins (&lt;5M, 5–10M, 10–20M, 20–40M, &gt;40M reads); a group is drawn in a bin only where it has at least three libraries. Productive controls (warts/condyloma) detect at 90–100% in every bin in which they occur, as do the EV biopsies in the deep bins where they fall, whereas cutaneous neoplasia (cSCC/actinic keratosis) and unselected skin stay near zero across all bins, including the deepest. This depth-matched comparison confirms that the group difference in</w:t>
            </w:r>
            <w:r>
              <w:t xml:space="preserve"> </w:t>
            </w:r>
            <w:hyperlink w:anchor="fig-rpm">
              <w:r>
                <w:rPr>
                  <w:rStyle w:val="Hyperlink"/>
                </w:rPr>
                <w:t xml:space="preserve">Figure 2</w:t>
              </w:r>
            </w:hyperlink>
            <w:r>
              <w:t xml:space="preserve"> </w:t>
            </w:r>
            <w:r>
              <w:t xml:space="preserve">is not produced by differences in sequencing depth: the groups that reach the floor do so at every depth, and the groups that do not never reach it, however deeply sequenced. Point size is proportional to the number of libraries in each group × bin.</w:t>
            </w:r>
          </w:p>
          <w:bookmarkEnd w:id="1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suppfig-trace"/>
          <w:p>
            <w:pPr>
              <w:pStyle w:val="Compact"/>
              <w:jc w:val="center"/>
            </w:pPr>
            <w:r>
              <w:drawing>
                <wp:inline>
                  <wp:extent cx="5943600" cy="3302000"/>
                  <wp:effectExtent b="0" l="0" r="0" t="0"/>
                  <wp:docPr descr="" title="" id="184" name="Picture"/>
                  <a:graphic>
                    <a:graphicData uri="http://schemas.openxmlformats.org/drawingml/2006/picture">
                      <pic:pic>
                        <pic:nvPicPr>
                          <pic:cNvPr descr="figureS2.png" id="185" name="Picture"/>
                          <pic:cNvPicPr>
                            <a:picLocks noChangeArrowheads="1" noChangeAspect="1"/>
                          </pic:cNvPicPr>
                        </pic:nvPicPr>
                        <pic:blipFill>
                          <a:blip r:embed="rId183"/>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What the sub-threshold trace is made of. Every HPV-positive library below the control-calibrated detection floor (13.2 RPM) in unselected skin and neoplasia (</w:t>
            </w:r>
            <w:r>
              <w:rPr>
                <w:i/>
                <w:iCs/>
              </w:rPr>
              <w:t xml:space="preserve">n</w:t>
            </w:r>
            <w:r>
              <w:t xml:space="preserve"> </w:t>
            </w:r>
            <w:r>
              <w:t xml:space="preserve">= 230), set against the productive controls (warts and EV,</w:t>
            </w:r>
            <w:r>
              <w:t xml:space="preserve"> </w:t>
            </w:r>
            <w:r>
              <w:rPr>
                <w:i/>
                <w:iCs/>
              </w:rPr>
              <w:t xml:space="preserve">n</w:t>
            </w:r>
            <w:r>
              <w:t xml:space="preserve"> </w:t>
            </w:r>
            <w:r>
              <w:t xml:space="preserve">= 54), split into three exclusive classes from the per-gene read counts the pipeline already writes: libraries with no reads on any HPV gene, libraries with gene-mapped reads that do not reach the productive threshold, and productive libraries (L1 ≥ 3 reads). Cell-line and engineered libraries are excluded throughout. The classes are assigned in that order of precedence, so a library appears in exactly one. The residual sample group with no recorded site is not in the denominator: the claim is about skin and neoplasia. Of the 57 gene-mapped but non-productive trace libraries, 52 carry early-gene reads with the late program absent and 5 carry only L2 reads below the productive bar; the median late-read fraction across the whole trace is 0, against 0.367 in the controls, which is the differentiation-coupled capsid burst the controls are there to show.</w:t>
            </w:r>
          </w:p>
          <w:bookmarkEnd w:id="1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0" w:name="suppfig-types"/>
          <w:p>
            <w:pPr>
              <w:pStyle w:val="Compact"/>
              <w:jc w:val="center"/>
            </w:pPr>
            <w:r>
              <w:drawing>
                <wp:inline>
                  <wp:extent cx="5943600" cy="2993813"/>
                  <wp:effectExtent b="0" l="0" r="0" t="0"/>
                  <wp:docPr descr="" title="" id="188" name="Picture"/>
                  <a:graphic>
                    <a:graphicData uri="http://schemas.openxmlformats.org/drawingml/2006/picture">
                      <pic:pic>
                        <pic:nvPicPr>
                          <pic:cNvPr descr="figureS3.png" id="189" name="Picture"/>
                          <pic:cNvPicPr>
                            <a:picLocks noChangeArrowheads="1" noChangeAspect="1"/>
                          </pic:cNvPicPr>
                        </pic:nvPicPr>
                        <pic:blipFill>
                          <a:blip r:embed="rId187"/>
                          <a:stretch>
                            <a:fillRect/>
                          </a:stretch>
                        </pic:blipFill>
                        <pic:spPr bwMode="auto">
                          <a:xfrm>
                            <a:off x="0" y="0"/>
                            <a:ext cx="5943600" cy="29938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The HPV type landscape, assigned catalog against detection level.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sample groups, with each group’s size on the axis. Fill is the prevalence of that type</w:t>
            </w:r>
            <w:r>
              <w:t xml:space="preserve"> </w:t>
            </w:r>
            <w:r>
              <w:rPr>
                <w:i/>
                <w:iCs/>
              </w:rPr>
              <w:t xml:space="preserve">within</w:t>
            </w:r>
            <w:r>
              <w:t xml:space="preserve"> </w:t>
            </w:r>
            <w:r>
              <w:t xml:space="preserve">that group, as a Beta-Binomial posterior mean under a Beta(0.5, 0.5) prior, the same estimator the tables use; the number printed in each cell is the raw library count. Prevalence rather than count is what the color encodes because group sizes span 10 to 7,800 libraries, so counts are not comparable across rows: three libraries is 23% of the EV group and 0.04% of unselected skin. The scale is log</w:t>
            </w:r>
            <w:r>
              <w:rPr>
                <w:vertAlign w:val="subscript"/>
              </w:rPr>
              <w:t xml:space="preserve">10</w:t>
            </w:r>
            <w:r>
              <w:t xml:space="preserve"> </w:t>
            </w:r>
            <w:r>
              <w:t xml:space="preserve">for the same reason, spanning 0.02% to 91%, and gray marks a type not seen in that group at all. Read that way the two panels say different things. The assigned catalog is concentrated in two rows, productive controls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4" w:name="suppfig-reservoir-gut"/>
          <w:p>
            <w:pPr>
              <w:pStyle w:val="Compact"/>
              <w:jc w:val="center"/>
            </w:pPr>
            <w:r>
              <w:drawing>
                <wp:inline>
                  <wp:extent cx="5943600" cy="4302034"/>
                  <wp:effectExtent b="0" l="0" r="0" t="0"/>
                  <wp:docPr descr="" title="" id="192" name="Picture"/>
                  <a:graphic>
                    <a:graphicData uri="http://schemas.openxmlformats.org/drawingml/2006/picture">
                      <pic:pic>
                        <pic:nvPicPr>
                          <pic:cNvPr descr="figureS4.png" id="193" name="Picture"/>
                          <pic:cNvPicPr>
                            <a:picLocks noChangeArrowheads="1" noChangeAspect="1"/>
                          </pic:cNvPicPr>
                        </pic:nvPicPr>
                        <pic:blipFill>
                          <a:blip r:embed="rId191"/>
                          <a:stretch>
                            <a:fillRect/>
                          </a:stretch>
                        </pic:blipFill>
                        <pic:spPr bwMode="auto">
                          <a:xfrm>
                            <a:off x="0" y="0"/>
                            <a:ext cx="5943600" cy="43020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The DNA reservoir across body sites, the positive control for the composition read-out. Skin (n = 1,735 HPV-positive libraries), vaginal (n = 541) and gut (n = 292) metagenomes tabulated from the same catalog by the same code as</w:t>
            </w:r>
            <w:r>
              <w:t xml:space="preserve"> </w:t>
            </w:r>
            <w:hyperlink w:anchor="fig-reservoir">
              <w:r>
                <w:rPr>
                  <w:rStyle w:val="Hyperlink"/>
                </w:rPr>
                <w:t xml:space="preserve">Figure 5</w:t>
              </w:r>
            </w:hyperlink>
            <w:r>
              <w:t xml:space="preserve">. (</w:t>
            </w:r>
            <w:r>
              <w:rPr>
                <w:b/>
                <w:bCs/>
              </w:rPr>
              <w:t xml:space="preserve">a</w:t>
            </w:r>
            <w:r>
              <w:t xml:space="preserve">) Genus composition of each site’s HPV-positive libraries. A library carrying two types of different genera contributes to both, so the panel is normalized within site and shows the composition of type detections rather than prevalence.</w:t>
            </w:r>
            <w:r>
              <w:t xml:space="preserve"> </w:t>
            </w:r>
            <w:r>
              <w:rPr>
                <w:i/>
                <w:iCs/>
              </w:rPr>
              <w:t xml:space="preserve">Unresolved</w:t>
            </w:r>
            <w:r>
              <w:t xml:space="preserve"> </w:t>
            </w:r>
            <w:r>
              <w:t xml:space="preserve">is a contig assigned a papillomavirus identity that cannot be placed in a genus,</w:t>
            </w:r>
            <w:r>
              <w:t xml:space="preserve"> </w:t>
            </w:r>
            <w:r>
              <w:rPr>
                <w:i/>
                <w:iCs/>
              </w:rPr>
              <w:t xml:space="preserve">Novel</w:t>
            </w:r>
            <w:r>
              <w:t xml:space="preserve"> </w:t>
            </w:r>
            <w:r>
              <w:t xml:space="preserve">a cluster with no reference match. (</w:t>
            </w:r>
            <w:r>
              <w:rPr>
                <w:b/>
                <w:bCs/>
              </w:rPr>
              <w:t xml:space="preserve">b</w:t>
            </w:r>
            <w:r>
              <w:t xml:space="preserve">) The ten most frequent types at each site; the numbers beside the skin bars are that type’s assigned / trace detections among the 7,800 unselected-skin RNA libraries of this study, as in</w:t>
            </w:r>
            <w:r>
              <w:t xml:space="preserve"> </w:t>
            </w:r>
            <w:hyperlink w:anchor="fig-reservoir">
              <w:r>
                <w:rPr>
                  <w:rStyle w:val="Hyperlink"/>
                </w:rPr>
                <w:t xml:space="preserve">Figure 5</w:t>
              </w:r>
            </w:hyperlink>
            <w:r>
              <w:t xml:space="preserve"> </w:t>
            </w:r>
            <w:r>
              <w:t xml:space="preserve">a. This figure is what licenses the skin composition in</w:t>
            </w:r>
            <w:r>
              <w:t xml:space="preserve"> </w:t>
            </w:r>
            <w:hyperlink w:anchor="fig-reservoir">
              <w:r>
                <w:rPr>
                  <w:rStyle w:val="Hyperlink"/>
                </w:rPr>
                <w:t xml:space="preserve">Figure 5</w:t>
              </w:r>
            </w:hyperlink>
            <w:r>
              <w:t xml:space="preserve"> </w:t>
            </w:r>
            <w:r>
              <w:t xml:space="preserve">to be read as biology: the identical procedure applied to vaginal libraries recovers an overwhelmingly alpha mucosal niche, which assembly noise could not produce. Only skin is carried into the main figure, since the paper’s subject is skin. Its composition is a mixture of mucosal alpha (30.5%) and cutaneous beta (34.9%), and its commonest types interleave the two (HPV16, HPV6 and HPV56 with HPV24, HPV124 and HPV37), which is the expected signature of a collection route that crosses perianal skin rather than of papillomavirus carriage in the gut; the same pattern is seen independently in rectal-swab cohorts. Read that way the site is a useful control, since it shows the catalog recovering the genus of whatever epithelium the sampling route touches, and its novel-cluster fraction (9.6%) sits with skin’s (14.5%) rather than with the vaginal site’s (0.2%), as expected if its beta/gamma content is cutaneous in origin.</w:t>
            </w:r>
          </w:p>
          <w:bookmarkEnd w:id="1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fig-bayes"/>
          <w:p>
            <w:pPr>
              <w:pStyle w:val="Compact"/>
              <w:jc w:val="center"/>
            </w:pPr>
            <w:r>
              <w:drawing>
                <wp:inline>
                  <wp:extent cx="5943600" cy="2905759"/>
                  <wp:effectExtent b="0" l="0" r="0" t="0"/>
                  <wp:docPr descr="" title="" id="196" name="Picture"/>
                  <a:graphic>
                    <a:graphicData uri="http://schemas.openxmlformats.org/drawingml/2006/picture">
                      <pic:pic>
                        <pic:nvPicPr>
                          <pic:cNvPr descr="figureS5.png" id="197" name="Picture"/>
                          <pic:cNvPicPr>
                            <a:picLocks noChangeArrowheads="1" noChangeAspect="1"/>
                          </pic:cNvPicPr>
                        </pic:nvPicPr>
                        <pic:blipFill>
                          <a:blip r:embed="rId195"/>
                          <a:stretch>
                            <a:fillRect/>
                          </a:stretch>
                        </pic:blipFill>
                        <pic:spPr bwMode="auto">
                          <a:xfrm>
                            <a:off x="0" y="0"/>
                            <a:ext cx="5943600" cy="29057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The Bayesian re-analysis as a forest plot. The same posterior summaries tabulated in</w:t>
            </w:r>
            <w:r>
              <w:t xml:space="preserve"> </w:t>
            </w:r>
            <w:hyperlink w:anchor="supptbl-bayes">
              <w:r>
                <w:rPr>
                  <w:rStyle w:val="Hyperlink"/>
                </w:rPr>
                <w:t xml:space="preserve">Table S3</w:t>
              </w:r>
            </w:hyperlink>
            <w:r>
              <w:t xml:space="preserve">, drawn on a log odds-ratio axis: each point is the posterior median odds ratio and the bar through it the 95% credible interval, with the dashed line at OR = 1 marking no effect. Filled points mark intervals that exclude 1; the two open grey points are the intervals that do not, and both are sequencing-depth terms, so the figure shows directly that deeper sequencing buys no productive-level detection either across sample groups or within neoplasia. P(OR &gt; 1) is the posterior probability of a positive effect, on the same rounding as the text. Contrast labels and their order are those of</w:t>
            </w:r>
            <w:r>
              <w:t xml:space="preserve"> </w:t>
            </w:r>
            <w:hyperlink w:anchor="supptbl-bayes">
              <w:r>
                <w:rPr>
                  <w:rStyle w:val="Hyperlink"/>
                </w:rPr>
                <w:t xml:space="preserve">Table S3</w:t>
              </w:r>
            </w:hyperlink>
            <w:r>
              <w:t xml:space="preserve">; the Student-</w:t>
            </w:r>
            <w:r>
              <w:rPr>
                <w:i/>
                <w:iCs/>
              </w:rPr>
              <w:t xml:space="preserve">t</w:t>
            </w:r>
            <w:r>
              <w:t xml:space="preserve">(3) row is the prior-sensitivity refit of the contrast immediately above it, reported in that table’s caption rather than as a row of its own, and it sits further from 1 rather than nearer, which is what makes the productive-controls gap a finding rather than an artifact of the Normal prior. The axis spans five orders of magnitude because that contrast genuinely does.</w:t>
            </w:r>
          </w:p>
          <w:bookmarkEnd w:id="1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9" w:name="supptbl-types"/>
          <w:tbl>
            <w:tblPr>
              <w:tblStyle w:val="Table"/>
              <w:tblW w:type="pct" w:w="5000"/>
              <w:tblLayout w:type="fixed"/>
              <w:tblLook w:firstRow="1" w:lastRow="0" w:firstColumn="0" w:lastColumn="0" w:noHBand="0" w:noVBand="0" w:val="0020"/>
            </w:tblPr>
            <w:tblGrid>
              <w:gridCol w:w="501"/>
              <w:gridCol w:w="1450"/>
              <w:gridCol w:w="1505"/>
              <w:gridCol w:w="557"/>
              <w:gridCol w:w="1003"/>
              <w:gridCol w:w="1003"/>
              <w:gridCol w:w="1561"/>
              <w:gridCol w:w="334"/>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right"/>
                    <w:jc w:val="center"/>
                  </w:pPr>
                  <w:r>
                    <w:t xml:space="preserve">Site not recorded (N=1,317)</w:t>
                  </w:r>
                </w:p>
              </w:tc>
              <w:tc>
                <w:tcPr/>
                <w:p>
                  <w:pPr>
                    <w:pStyle w:val="Compact"/>
                    <w:jc w:val="left"/>
                    <w:jc w:val="center"/>
                  </w:pPr>
                  <w:r>
                    <w:t xml:space="preserve">Total</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right"/>
                    <w:jc w:val="center"/>
                  </w:pPr>
                  <w:r>
                    <w:t xml:space="preserve">0</w:t>
                  </w:r>
                </w:p>
              </w:tc>
              <w:tc>
                <w:tcPr/>
                <w:p>
                  <w:pPr>
                    <w:pStyle w:val="Compact"/>
                    <w:jc w:val="lef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right"/>
                    <w:jc w:val="center"/>
                  </w:pPr>
                  <w:r>
                    <w:t xml:space="preserve">0</w:t>
                  </w:r>
                </w:p>
              </w:tc>
              <w:tc>
                <w:tcPr/>
                <w:p>
                  <w:pPr>
                    <w:pStyle w:val="Compact"/>
                    <w:jc w:val="left"/>
                    <w:jc w:val="center"/>
                  </w:pPr>
                  <w:r>
                    <w:t xml:space="preserve">28</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8 (0.64%)</w:t>
                  </w:r>
                </w:p>
              </w:tc>
              <w:tc>
                <w:tcPr/>
                <w:p>
                  <w:pPr>
                    <w:pStyle w:val="Compact"/>
                    <w:jc w:val="left"/>
                    <w:jc w:val="center"/>
                  </w:pPr>
                  <w:r>
                    <w:t xml:space="preserve">22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10</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9</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(0.49%)</w:t>
                  </w:r>
                </w:p>
              </w:tc>
              <w:tc>
                <w:tcPr/>
                <w:p>
                  <w:pPr>
                    <w:pStyle w:val="Compact"/>
                    <w:jc w:val="left"/>
                    <w:jc w:val="center"/>
                  </w:pPr>
                  <w:r>
                    <w:t xml:space="preserve">9</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1 (0.37%)</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S1: Number of libraries assigned to each HPV reference type across sample groups (types with ≥2 assigned libraries shown).</w:t>
            </w:r>
            <w:r>
              <w:t xml:space="preserve"> </w:t>
            </w:r>
            <w:hyperlink w:anchor="suppfig-types">
              <w:r>
                <w:rPr>
                  <w:rStyle w:val="Hyperlink"/>
                </w:rPr>
                <w:t xml:space="preserve">Figure S3</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group, the library count divided by the group size in the column header, estimated as a Beta-Binomial posterior mean under a weakly-informative Beta(0.5, 0.5) prior. Because group sizes span more than two orders of magnitude, raw counts are not comparable across groups: the 14 HPV11 detections in productive controls represent a far higher prevalence than the 24 HPV16 detections in the much larger cell-line group (32% [20–46] versus 3.5% [2.3–5.0];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group by the beta-types that define the syndrome (HPV9, HPV14, HPV20, HPV25, HPV47).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2"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group.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group.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3"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Sample group</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sample group, as a percentage of the libraries in each group (group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10,834 libraries resolved, the remainder being records in which neither source states how the library was selected. The table exists because poly-A capture is the chemistry least favorable to viral-transcript recovery, so an unbalanced distribution of chemistry across groups could in principle manufacture the productivity contrast reported in the main text. It does not: the imbalance runs the other way. The neoplasia group,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group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group.</w:t>
            </w:r>
          </w:p>
          <w:bookmarkEnd w:id="20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4"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Detection-level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S3</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groups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near-absence of productive controls from the detection level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group in parentheses (Beta-Binomial posterior mean, Beta(0.5, 0.5) prior; group sizes in the headers), keeping both tables on one denominator; the trace-eligible counts per group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0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5" w:name="supptbl-coinf"/>
          <w:tbl>
            <w:tblPr>
              <w:tblStyle w:val="Table"/>
              <w:tblW w:type="pct" w:w="5000"/>
              <w:tblLayout w:type="fixed"/>
              <w:tblLook w:firstRow="1" w:lastRow="0" w:firstColumn="0" w:lastColumn="0" w:noHBand="0" w:noVBand="0" w:val="0020"/>
            </w:tblPr>
            <w:tblGrid>
              <w:gridCol w:w="772"/>
              <w:gridCol w:w="1287"/>
              <w:gridCol w:w="643"/>
              <w:gridCol w:w="5215"/>
            </w:tblGrid>
            <w:tr>
              <w:trPr>
                <w:tblHeader w:val="on"/>
              </w:trPr>
              <w:tc>
                <w:tcPr/>
                <w:p>
                  <w:pPr>
                    <w:pStyle w:val="Compact"/>
                    <w:jc w:val="left"/>
                    <w:jc w:val="center"/>
                  </w:pPr>
                  <w:r>
                    <w:t xml:space="preserve">Library</w:t>
                  </w:r>
                </w:p>
              </w:tc>
              <w:tc>
                <w:tcPr/>
                <w:p>
                  <w:pPr>
                    <w:pStyle w:val="Compact"/>
                    <w:jc w:val="left"/>
                    <w:jc w:val="center"/>
                  </w:pPr>
                  <w:r>
                    <w:t xml:space="preserve">Sample group</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26 of the 148 typed libraries qualify (20 with two types, 2 with three, 4 with four, 0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13 of the 26 come from the paired studies SRP314958 (RNA-seq) and SRP314961 (MeRIP-seq), which are condyloma lesions from 5 donors (CA_1 to CA_5), each sequenced as an RNA-seq library plus a MeRIP input and IP fraction, so rows sharing a donor carry near-identical read profiles. Second, the secondary types often sit close to the threshold: across all non-dominant calls the median depth is 9.0× and 39%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45-fold (interquartile range 14 to 2,175),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8 libraries carry both, against 14 with HPV11 alone and 1 with HPV42 alone. Requiring both partners to clear a stricter bar (breadth ≥ 0.70 and depth ≥ 5× for each) leaves 3 libraries from 1 of those donors (CA_1). Their dominance relation is asymmetric: HPV11 is the deeper type in all five condyloma lesions, exceeding HPV42 48- to 4,100-fold in the three with a strong HPV11 signal (CA_1, CA_4, CA_5) and 2- to 4-fold in the other two, so HPV42 is the minor partner throughout and clears the assignment threshold only where it happens to be abundant. Whether the pairing is a genuine dual infection or an artifact of that sensitivity limit cannot be settled from five donors of one study: it is a hypothesis the data motivate, not a result they support.</w:t>
            </w:r>
          </w:p>
          <w:bookmarkEnd w:id="205"/>
        </w:tc>
      </w:tr>
    </w:tbl>
    <w:bookmarkEnd w:id="206"/>
    <w:bookmarkStart w:id="208" w:name="sec-s-crosstalk"/>
    <w:p>
      <w:pPr>
        <w:pStyle w:val="Heading2"/>
      </w:pPr>
      <w:r>
        <w:t xml:space="preserve">Above-floor HPV in tissue that cannot host it: two contaminated studies</w:t>
      </w:r>
    </w:p>
    <w:p>
      <w:pPr>
        <w:pStyle w:val="FirstParagraph"/>
      </w:pPr>
      <w:r>
        <w:t xml:space="preserve">The non-permissive tissue group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group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0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07"/>
        </w:tc>
      </w:tr>
    </w:tbl>
    <w:bookmarkEnd w:id="208"/>
    <w:bookmarkEnd w:id="20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hyperlink" Id="rId158" Target="https://doi.org/10.1001/jamadermatol.2025.0531" TargetMode="External" /><Relationship Type="http://schemas.openxmlformats.org/officeDocument/2006/relationships/hyperlink" Id="rId120" Target="https://doi.org/10.1001/jamadermatol.2026.0308" TargetMode="External" /><Relationship Type="http://schemas.openxmlformats.org/officeDocument/2006/relationships/hyperlink" Id="rId68" Target="https://doi.org/10.1002/ijc.33683" TargetMode="External" /><Relationship Type="http://schemas.openxmlformats.org/officeDocument/2006/relationships/hyperlink" Id="rId156" Target="https://doi.org/10.1007/s00430-011-0212-3" TargetMode="External" /><Relationship Type="http://schemas.openxmlformats.org/officeDocument/2006/relationships/hyperlink" Id="rId144" Target="https://doi.org/10.1016/j.ccell.2024.11.013" TargetMode="External" /><Relationship Type="http://schemas.openxmlformats.org/officeDocument/2006/relationships/hyperlink" Id="rId70" Target="https://doi.org/10.1016/j.cmi.2019.04.028" TargetMode="External" /><Relationship Type="http://schemas.openxmlformats.org/officeDocument/2006/relationships/hyperlink" Id="rId80" Target="https://doi.org/10.1016/j.coviro.2019.07.010" TargetMode="External" /><Relationship Type="http://schemas.openxmlformats.org/officeDocument/2006/relationships/hyperlink" Id="rId74" Target="https://doi.org/10.1016/j.jid.2026.02.011" TargetMode="External" /><Relationship Type="http://schemas.openxmlformats.org/officeDocument/2006/relationships/hyperlink" Id="rId88" Target="https://doi.org/10.1016/j.virol.2019.08.007" TargetMode="External" /><Relationship Type="http://schemas.openxmlformats.org/officeDocument/2006/relationships/hyperlink" Id="rId66" Target="https://doi.org/10.1038/jid.2011.91" TargetMode="External" /><Relationship Type="http://schemas.openxmlformats.org/officeDocument/2006/relationships/hyperlink" Id="rId62" Target="https://doi.org/10.1038/nature12064" TargetMode="External" /><Relationship Type="http://schemas.openxmlformats.org/officeDocument/2006/relationships/hyperlink" Id="rId90" Target="https://doi.org/10.1038/nbt.3820" TargetMode="External" /><Relationship Type="http://schemas.openxmlformats.org/officeDocument/2006/relationships/hyperlink" Id="rId146" Target="https://doi.org/10.1038/s41586-019-1719-9" TargetMode="External" /><Relationship Type="http://schemas.openxmlformats.org/officeDocument/2006/relationships/hyperlink" Id="rId110" Target="https://doi.org/10.1038/s41586-020-3023-0" TargetMode="External" /><Relationship Type="http://schemas.openxmlformats.org/officeDocument/2006/relationships/hyperlink" Id="rId148" Target="https://doi.org/10.1038/s41586-020-3024-z" TargetMode="External" /><Relationship Type="http://schemas.openxmlformats.org/officeDocument/2006/relationships/hyperlink" Id="rId97" Target="https://doi.org/10.1038/s41586-021-04332-2" TargetMode="External" /><Relationship Type="http://schemas.openxmlformats.org/officeDocument/2006/relationships/hyperlink" Id="rId76" Target="https://doi.org/10.1038/srep05807" TargetMode="External" /><Relationship Type="http://schemas.openxmlformats.org/officeDocument/2006/relationships/hyperlink" Id="rId126" Target="https://doi.org/10.1073/pnas.2118930119" TargetMode="External" /><Relationship Type="http://schemas.openxmlformats.org/officeDocument/2006/relationships/hyperlink" Id="rId92" Target="https://doi.org/10.1093/bioinformatics/bts635" TargetMode="External" /><Relationship Type="http://schemas.openxmlformats.org/officeDocument/2006/relationships/hyperlink" Id="rId116" Target="https://doi.org/10.1093/bioinformatics/btt656" TargetMode="External" /><Relationship Type="http://schemas.openxmlformats.org/officeDocument/2006/relationships/hyperlink" Id="rId82" Target="https://doi.org/10.1093/bioinformatics/bty560" TargetMode="External" /><Relationship Type="http://schemas.openxmlformats.org/officeDocument/2006/relationships/hyperlink" Id="rId86" Target="https://doi.org/10.1093/gigascience/giab008" TargetMode="External" /><Relationship Type="http://schemas.openxmlformats.org/officeDocument/2006/relationships/hyperlink" Id="rId130" Target="https://doi.org/10.1093/infdis/jiy577" TargetMode="External" /><Relationship Type="http://schemas.openxmlformats.org/officeDocument/2006/relationships/hyperlink" Id="rId114" Target="https://doi.org/10.1093/nar/gkq1019" TargetMode="External" /><Relationship Type="http://schemas.openxmlformats.org/officeDocument/2006/relationships/hyperlink" Id="rId150" Target="https://doi.org/10.1093/nar/gkw879" TargetMode="External" /><Relationship Type="http://schemas.openxmlformats.org/officeDocument/2006/relationships/hyperlink" Id="rId99" Target="https://doi.org/10.1097/DAD.0000000000001289" TargetMode="External" /><Relationship Type="http://schemas.openxmlformats.org/officeDocument/2006/relationships/hyperlink" Id="rId84" Target="https://doi.org/10.1101/2024.07.30.605881" TargetMode="External" /><Relationship Type="http://schemas.openxmlformats.org/officeDocument/2006/relationships/hyperlink" Id="rId152" Target="https://doi.org/10.1111/exd.14385" TargetMode="External" /><Relationship Type="http://schemas.openxmlformats.org/officeDocument/2006/relationships/hyperlink" Id="rId122" Target="https://doi.org/10.1111/j.0022-202X.2005.23635.x" TargetMode="External" /><Relationship Type="http://schemas.openxmlformats.org/officeDocument/2006/relationships/hyperlink" Id="rId118" Target="https://doi.org/10.1128/JVI.00093-14" TargetMode="External" /><Relationship Type="http://schemas.openxmlformats.org/officeDocument/2006/relationships/hyperlink" Id="rId108" Target="https://doi.org/10.1128/JVI.00822-15" TargetMode="External" /><Relationship Type="http://schemas.openxmlformats.org/officeDocument/2006/relationships/hyperlink" Id="rId132" Target="https://doi.org/10.1128/JVI.01003-18" TargetMode="External" /><Relationship Type="http://schemas.openxmlformats.org/officeDocument/2006/relationships/hyperlink" Id="rId136" Target="https://doi.org/10.1128/JVI.01841-13" TargetMode="External" /><Relationship Type="http://schemas.openxmlformats.org/officeDocument/2006/relationships/hyperlink" Id="rId78" Target="https://doi.org/10.1128/JVI.03365-14" TargetMode="External" /><Relationship Type="http://schemas.openxmlformats.org/officeDocument/2006/relationships/hyperlink" Id="rId64" Target="https://doi.org/10.1128/JVI.74.24.11636-11641.2000" TargetMode="External" /><Relationship Type="http://schemas.openxmlformats.org/officeDocument/2006/relationships/hyperlink" Id="rId124" Target="https://doi.org/10.1128/jvi.01498-22" TargetMode="External" /><Relationship Type="http://schemas.openxmlformats.org/officeDocument/2006/relationships/hyperlink" Id="rId101" Target="https://doi.org/10.1128/mbio.01607-23" TargetMode="External" /><Relationship Type="http://schemas.openxmlformats.org/officeDocument/2006/relationships/hyperlink" Id="rId72" Target="https://doi.org/10.1152/physiolgenomics.00093.2024" TargetMode="External" /><Relationship Type="http://schemas.openxmlformats.org/officeDocument/2006/relationships/hyperlink" Id="rId128" Target="https://doi.org/10.1158/0008-5472.CAN-21-0805" TargetMode="External" /><Relationship Type="http://schemas.openxmlformats.org/officeDocument/2006/relationships/hyperlink" Id="rId112" Target="https://doi.org/10.1158/2159-8290.CD-22-0489" TargetMode="External" /><Relationship Type="http://schemas.openxmlformats.org/officeDocument/2006/relationships/hyperlink" Id="rId134" Target="https://doi.org/10.1172/jci.insight.162558" TargetMode="External" /><Relationship Type="http://schemas.openxmlformats.org/officeDocument/2006/relationships/hyperlink" Id="rId138" Target="https://doi.org/10.1186/s12864-020-6483-6" TargetMode="External" /><Relationship Type="http://schemas.openxmlformats.org/officeDocument/2006/relationships/hyperlink" Id="rId160" Target="https://doi.org/10.1186/s13059-019-1891-0" TargetMode="External" /><Relationship Type="http://schemas.openxmlformats.org/officeDocument/2006/relationships/hyperlink" Id="rId142" Target="https://doi.org/10.1371/journal.pone.0163962" TargetMode="External" /><Relationship Type="http://schemas.openxmlformats.org/officeDocument/2006/relationships/hyperlink" Id="rId106" Target="https://doi.org/10.1371/journal.pone.0217942" TargetMode="External" /><Relationship Type="http://schemas.openxmlformats.org/officeDocument/2006/relationships/hyperlink" Id="rId154" Target="https://doi.org/10.1371/journal.ppat.1006783" TargetMode="External" /><Relationship Type="http://schemas.openxmlformats.org/officeDocument/2006/relationships/hyperlink" Id="rId140"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3"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1/jamadermatol.2025.0531" TargetMode="External" /><Relationship Type="http://schemas.openxmlformats.org/officeDocument/2006/relationships/hyperlink" Id="rId120" Target="https://doi.org/10.1001/jamadermatol.2026.0308" TargetMode="External" /><Relationship Type="http://schemas.openxmlformats.org/officeDocument/2006/relationships/hyperlink" Id="rId68" Target="https://doi.org/10.1002/ijc.33683" TargetMode="External" /><Relationship Type="http://schemas.openxmlformats.org/officeDocument/2006/relationships/hyperlink" Id="rId156" Target="https://doi.org/10.1007/s00430-011-0212-3" TargetMode="External" /><Relationship Type="http://schemas.openxmlformats.org/officeDocument/2006/relationships/hyperlink" Id="rId144" Target="https://doi.org/10.1016/j.ccell.2024.11.013" TargetMode="External" /><Relationship Type="http://schemas.openxmlformats.org/officeDocument/2006/relationships/hyperlink" Id="rId70" Target="https://doi.org/10.1016/j.cmi.2019.04.028" TargetMode="External" /><Relationship Type="http://schemas.openxmlformats.org/officeDocument/2006/relationships/hyperlink" Id="rId80" Target="https://doi.org/10.1016/j.coviro.2019.07.010" TargetMode="External" /><Relationship Type="http://schemas.openxmlformats.org/officeDocument/2006/relationships/hyperlink" Id="rId74" Target="https://doi.org/10.1016/j.jid.2026.02.011" TargetMode="External" /><Relationship Type="http://schemas.openxmlformats.org/officeDocument/2006/relationships/hyperlink" Id="rId88" Target="https://doi.org/10.1016/j.virol.2019.08.007" TargetMode="External" /><Relationship Type="http://schemas.openxmlformats.org/officeDocument/2006/relationships/hyperlink" Id="rId66" Target="https://doi.org/10.1038/jid.2011.91" TargetMode="External" /><Relationship Type="http://schemas.openxmlformats.org/officeDocument/2006/relationships/hyperlink" Id="rId62" Target="https://doi.org/10.1038/nature12064" TargetMode="External" /><Relationship Type="http://schemas.openxmlformats.org/officeDocument/2006/relationships/hyperlink" Id="rId90" Target="https://doi.org/10.1038/nbt.3820" TargetMode="External" /><Relationship Type="http://schemas.openxmlformats.org/officeDocument/2006/relationships/hyperlink" Id="rId146" Target="https://doi.org/10.1038/s41586-019-1719-9" TargetMode="External" /><Relationship Type="http://schemas.openxmlformats.org/officeDocument/2006/relationships/hyperlink" Id="rId110" Target="https://doi.org/10.1038/s41586-020-3023-0" TargetMode="External" /><Relationship Type="http://schemas.openxmlformats.org/officeDocument/2006/relationships/hyperlink" Id="rId148" Target="https://doi.org/10.1038/s41586-020-3024-z" TargetMode="External" /><Relationship Type="http://schemas.openxmlformats.org/officeDocument/2006/relationships/hyperlink" Id="rId97" Target="https://doi.org/10.1038/s41586-021-04332-2" TargetMode="External" /><Relationship Type="http://schemas.openxmlformats.org/officeDocument/2006/relationships/hyperlink" Id="rId76" Target="https://doi.org/10.1038/srep05807" TargetMode="External" /><Relationship Type="http://schemas.openxmlformats.org/officeDocument/2006/relationships/hyperlink" Id="rId126" Target="https://doi.org/10.1073/pnas.2118930119" TargetMode="External" /><Relationship Type="http://schemas.openxmlformats.org/officeDocument/2006/relationships/hyperlink" Id="rId92" Target="https://doi.org/10.1093/bioinformatics/bts635" TargetMode="External" /><Relationship Type="http://schemas.openxmlformats.org/officeDocument/2006/relationships/hyperlink" Id="rId116" Target="https://doi.org/10.1093/bioinformatics/btt656" TargetMode="External" /><Relationship Type="http://schemas.openxmlformats.org/officeDocument/2006/relationships/hyperlink" Id="rId82" Target="https://doi.org/10.1093/bioinformatics/bty560" TargetMode="External" /><Relationship Type="http://schemas.openxmlformats.org/officeDocument/2006/relationships/hyperlink" Id="rId86" Target="https://doi.org/10.1093/gigascience/giab008" TargetMode="External" /><Relationship Type="http://schemas.openxmlformats.org/officeDocument/2006/relationships/hyperlink" Id="rId130" Target="https://doi.org/10.1093/infdis/jiy577" TargetMode="External" /><Relationship Type="http://schemas.openxmlformats.org/officeDocument/2006/relationships/hyperlink" Id="rId114" Target="https://doi.org/10.1093/nar/gkq1019" TargetMode="External" /><Relationship Type="http://schemas.openxmlformats.org/officeDocument/2006/relationships/hyperlink" Id="rId150" Target="https://doi.org/10.1093/nar/gkw879" TargetMode="External" /><Relationship Type="http://schemas.openxmlformats.org/officeDocument/2006/relationships/hyperlink" Id="rId99" Target="https://doi.org/10.1097/DAD.0000000000001289" TargetMode="External" /><Relationship Type="http://schemas.openxmlformats.org/officeDocument/2006/relationships/hyperlink" Id="rId84" Target="https://doi.org/10.1101/2024.07.30.605881" TargetMode="External" /><Relationship Type="http://schemas.openxmlformats.org/officeDocument/2006/relationships/hyperlink" Id="rId152" Target="https://doi.org/10.1111/exd.14385" TargetMode="External" /><Relationship Type="http://schemas.openxmlformats.org/officeDocument/2006/relationships/hyperlink" Id="rId122" Target="https://doi.org/10.1111/j.0022-202X.2005.23635.x" TargetMode="External" /><Relationship Type="http://schemas.openxmlformats.org/officeDocument/2006/relationships/hyperlink" Id="rId118" Target="https://doi.org/10.1128/JVI.00093-14" TargetMode="External" /><Relationship Type="http://schemas.openxmlformats.org/officeDocument/2006/relationships/hyperlink" Id="rId108" Target="https://doi.org/10.1128/JVI.00822-15" TargetMode="External" /><Relationship Type="http://schemas.openxmlformats.org/officeDocument/2006/relationships/hyperlink" Id="rId132" Target="https://doi.org/10.1128/JVI.01003-18" TargetMode="External" /><Relationship Type="http://schemas.openxmlformats.org/officeDocument/2006/relationships/hyperlink" Id="rId136" Target="https://doi.org/10.1128/JVI.01841-13" TargetMode="External" /><Relationship Type="http://schemas.openxmlformats.org/officeDocument/2006/relationships/hyperlink" Id="rId78" Target="https://doi.org/10.1128/JVI.03365-14" TargetMode="External" /><Relationship Type="http://schemas.openxmlformats.org/officeDocument/2006/relationships/hyperlink" Id="rId64" Target="https://doi.org/10.1128/JVI.74.24.11636-11641.2000" TargetMode="External" /><Relationship Type="http://schemas.openxmlformats.org/officeDocument/2006/relationships/hyperlink" Id="rId124" Target="https://doi.org/10.1128/jvi.01498-22" TargetMode="External" /><Relationship Type="http://schemas.openxmlformats.org/officeDocument/2006/relationships/hyperlink" Id="rId101" Target="https://doi.org/10.1128/mbio.01607-23" TargetMode="External" /><Relationship Type="http://schemas.openxmlformats.org/officeDocument/2006/relationships/hyperlink" Id="rId72" Target="https://doi.org/10.1152/physiolgenomics.00093.2024" TargetMode="External" /><Relationship Type="http://schemas.openxmlformats.org/officeDocument/2006/relationships/hyperlink" Id="rId128" Target="https://doi.org/10.1158/0008-5472.CAN-21-0805" TargetMode="External" /><Relationship Type="http://schemas.openxmlformats.org/officeDocument/2006/relationships/hyperlink" Id="rId112" Target="https://doi.org/10.1158/2159-8290.CD-22-0489" TargetMode="External" /><Relationship Type="http://schemas.openxmlformats.org/officeDocument/2006/relationships/hyperlink" Id="rId134" Target="https://doi.org/10.1172/jci.insight.162558" TargetMode="External" /><Relationship Type="http://schemas.openxmlformats.org/officeDocument/2006/relationships/hyperlink" Id="rId138" Target="https://doi.org/10.1186/s12864-020-6483-6" TargetMode="External" /><Relationship Type="http://schemas.openxmlformats.org/officeDocument/2006/relationships/hyperlink" Id="rId160" Target="https://doi.org/10.1186/s13059-019-1891-0" TargetMode="External" /><Relationship Type="http://schemas.openxmlformats.org/officeDocument/2006/relationships/hyperlink" Id="rId142" Target="https://doi.org/10.1371/journal.pone.0163962" TargetMode="External" /><Relationship Type="http://schemas.openxmlformats.org/officeDocument/2006/relationships/hyperlink" Id="rId106" Target="https://doi.org/10.1371/journal.pone.0217942" TargetMode="External" /><Relationship Type="http://schemas.openxmlformats.org/officeDocument/2006/relationships/hyperlink" Id="rId154" Target="https://doi.org/10.1371/journal.ppat.1006783" TargetMode="External" /><Relationship Type="http://schemas.openxmlformats.org/officeDocument/2006/relationships/hyperlink" Id="rId140" Target="https://doi.org/10.64898/2026.04.21.719858" TargetMode="External" /><Relationship Type="http://schemas.openxmlformats.org/officeDocument/2006/relationships/hyperlink" Id="rId55" Target="https://github.com/tpall/hpv-human-skin" TargetMode="External" /><Relationship Type="http://schemas.openxmlformats.org/officeDocument/2006/relationships/hyperlink" Id="rId103" Target="https://mc-stan.org/rstanarm/" TargetMode="External" /><Relationship Type="http://schemas.openxmlformats.org/officeDocument/2006/relationships/hyperlink" Id="rId52" Target="https://orcid.org/0000-0001-6843-7127" TargetMode="External" /><Relationship Type="http://schemas.openxmlformats.org/officeDocument/2006/relationships/hyperlink" Id="rId51" Target="https://orcid.org/0000-0001-7606-675X" TargetMode="External" /><Relationship Type="http://schemas.openxmlformats.org/officeDocument/2006/relationships/hyperlink" Id="rId5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Taavi Päll; Alla Piirsoo; Marko Piirsoo</dc:creator>
  <cp:keywords/>
  <dcterms:created xsi:type="dcterms:W3CDTF">2026-10-13T10:20:12Z</dcterms:created>
  <dcterms:modified xsi:type="dcterms:W3CDTF">2026-10-13T10:20:12Z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journal-of-investigative-dermatology.csl</vt:lpwstr>
  </property>
  <property fmtid="{D5CDD505-2E9C-101B-9397-08002B2CF9AE}" pid="10" name="date">
    <vt:lpwstr>2026-10-13</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Short version, formatted to Journal of Investigative Dermatology limits</vt:lpwstr>
  </property>
  <property fmtid="{D5CDD505-2E9C-101B-9397-08002B2CF9AE}" pid="17" name="tbl-cap-location">
    <vt:lpwstr>top</vt:lpwstr>
  </property>
  <property fmtid="{D5CDD505-2E9C-101B-9397-08002B2CF9AE}" pid="18" name="toc-title">
    <vt:lpwstr>Table of contents</vt:lpwstr>
  </property>
</Properties>
</file>