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that reside on skin as a commensal reservoir, yet their role in cutaneous squamous cell carcinoma (cSCC) remains contested between a</w:t>
      </w:r>
      <w:r>
        <w:t xml:space="preserve"> </w:t>
      </w:r>
      <w:r>
        <w:t xml:space="preserve">“hit-and-run”</w:t>
      </w:r>
      <w:r>
        <w:t xml:space="preserve"> </w:t>
      </w:r>
      <w:r>
        <w:t xml:space="preserve">oncogenic model and a protective-immunity model. Because standard pipelines discard the non-human reads that carry HPV signal, we re-mined public human RNA-seq across skin and related tissues with a uniform pipeline that screens each library for papillomavirus reads, types positives against the full reference panel, and scores productive infection from late (L1 major-capsid) transcript expression. To control the two dominant confounders, we flagged cell-line and engineered material and scored each library as papillomavirus reads-per-million, neutralising sequencing depth. HPV signal was concentrated in non-primary material: cell-line and engineered libraries were four- to five-fold enriched for positivity (OR 4.5–5.7,</w:t>
      </w:r>
      <w:r>
        <w:t xml:space="preserve"> </w:t>
      </w:r>
      <w:r>
        <w:rPr>
          <w:i/>
          <w:iCs/>
        </w:rPr>
        <w:t xml:space="preserve">P</w:t>
      </w:r>
      <w:r>
        <w:t xml:space="preserve"> </w:t>
      </w:r>
      <w:r>
        <w:t xml:space="preserve">&lt; 10⁻¹¹) and dominated by integrated HPV16/HPV18, whereas primary skin carried HPV at only 2–4%. Productive infection was abundant in warts and epidermodysplasia verruciformis (64% of libraries). After depth adjustment, however, HPV in cSCC and actinic keratosis, the most deeply sequenced tissue, did not differ from unselected skin at productive level (OR 2.0,</w:t>
      </w:r>
      <w:r>
        <w:t xml:space="preserve"> </w:t>
      </w:r>
      <w:r>
        <w:rPr>
          <w:i/>
          <w:iCs/>
        </w:rPr>
        <w:t xml:space="preserve">P</w:t>
      </w:r>
      <w:r>
        <w:t xml:space="preserve"> </w:t>
      </w:r>
      <w:r>
        <w:t xml:space="preserve">= 0.14), persisting only as a trace footprint (any-read OR 1.7,</w:t>
      </w:r>
      <w:r>
        <w:t xml:space="preserve"> </w:t>
      </w:r>
      <w:r>
        <w:rPr>
          <w:i/>
          <w:iCs/>
        </w:rPr>
        <w:t xml:space="preserve">P</w:t>
      </w:r>
      <w:r>
        <w:t xml:space="preserve"> </w:t>
      </w:r>
      <w:r>
        <w:t xml:space="preserve">= 7.9×10⁻⁷). A minority of lesions nonetheless harboured bona fide productive gamma-/alpha-HPV infection (HPV12, HPV96, HPV182, HPV16). Cutaneous HPV is thus productive in warts but transcriptionally quiet in healthy skin and carcinoma: a trace, non-productive footprint that both contested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A small number of studies have shown that cutaneous HPV transcripts can indeed be read from skin RNA-seq, including whole-transcriptome virome profiling of EV skin</w:t>
      </w:r>
      <w:r>
        <w:t xml:space="preserve"> </w:t>
      </w:r>
      <w:r>
        <w:t xml:space="preserve">(Saeidian et al. 2023)</w:t>
      </w:r>
      <w:r>
        <w:t xml:space="preserve">, whereas others have reported the opposite, finding HPV transcriptionally silent in cSCC</w:t>
      </w:r>
      <w:r>
        <w:t xml:space="preserve"> </w:t>
      </w:r>
      <w:r>
        <w:t xml:space="preserve">(Arron et al. 2011)</w:t>
      </w:r>
      <w:r>
        <w:t xml:space="preserve">.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substring matching of sample title and source fields against a curated keyword table, yielding one of four classes: skin, anogenital, oral, or other (the default).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1"/>
    <w:bookmarkStart w:id="34"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2">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3">
        <w:r>
          <w:rPr>
            <w:rStyle w:val="Hyperlink"/>
          </w:rPr>
          <w:t xml:space="preserve">https://pave.niaid.nih.gov</w:t>
        </w:r>
      </w:hyperlink>
      <w:r>
        <w:t xml:space="preserve">) and NCBI RefSeq.</w:t>
      </w:r>
    </w:p>
    <w:bookmarkEnd w:id="34"/>
    <w:bookmarkEnd w:id="35"/>
    <w:bookmarkStart w:id="4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37"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11.11% of cases (95% CI 7.45–16.25) and cell-line libraries in 9.02% (6.62–12.19), versus only 2.15% (1.89–2.44) of clinical primary-tissue libraries (</w:t>
      </w:r>
      <w:hyperlink w:anchor="tbl-positivity">
        <w:r>
          <w:rPr>
            <w:rStyle w:val="Hyperlink"/>
          </w:rPr>
          <w:t xml:space="preserve">Table 1</w:t>
        </w:r>
      </w:hyperlink>
      <w:r>
        <w:t xml:space="preserve">). In logistic regression this corresponded to roughly four- to five-fold higher odds of positivity for engineered (OR 5.7, 95% CI 3.6–9.0,</w:t>
      </w:r>
      <w:r>
        <w:t xml:space="preserve"> </w:t>
      </w:r>
      <w:r>
        <w:rPr>
          <w:i/>
          <w:iCs/>
        </w:rPr>
        <w:t xml:space="preserve">P</w:t>
      </w:r>
      <w:r>
        <w:t xml:space="preserve"> </w:t>
      </w:r>
      <w:r>
        <w:t xml:space="preserve">= 1.5×10⁻¹³) and cell-line (OR 4.5, 3.1–6.5,</w:t>
      </w:r>
      <w:r>
        <w:t xml:space="preserve"> </w:t>
      </w:r>
      <w:r>
        <w:rPr>
          <w:i/>
          <w:iCs/>
        </w:rPr>
        <w:t xml:space="preserve">P</w:t>
      </w:r>
      <w:r>
        <w:t xml:space="preserve"> </w:t>
      </w:r>
      <w:r>
        <w:t xml:space="preserve">= 2.9×10⁻¹⁶) samples relative to clinical tissue (likelihood-ratio</w:t>
      </w:r>
      <w:r>
        <w:t xml:space="preserve"> </w:t>
      </w:r>
      <w:r>
        <w:rPr>
          <w:i/>
          <w:iCs/>
        </w:rPr>
        <w:t xml:space="preserve">P</w:t>
      </w:r>
      <w:r>
        <w:t xml:space="preserve"> </w:t>
      </w:r>
      <w:r>
        <w:t xml:space="preserve">= 1.4×10⁻¹⁸).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36"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1.4×10⁻¹⁸). Cell-line and engineered libraries carry roughly four- to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10,948</w:t>
                  </w:r>
                </w:p>
              </w:tc>
              <w:tc>
                <w:tcPr/>
                <w:p>
                  <w:pPr>
                    <w:pStyle w:val="Compact"/>
                    <w:jc w:val="right"/>
                    <w:jc w:val="center"/>
                  </w:pPr>
                  <w:r>
                    <w:t xml:space="preserve">235</w:t>
                  </w:r>
                </w:p>
              </w:tc>
              <w:tc>
                <w:tcPr/>
                <w:p>
                  <w:pPr>
                    <w:pStyle w:val="Compact"/>
                    <w:jc w:val="center"/>
                    <w:jc w:val="center"/>
                  </w:pPr>
                  <w:r>
                    <w:t xml:space="preserve">2.15 (1.89–2.44)</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198</w:t>
                  </w:r>
                </w:p>
              </w:tc>
              <w:tc>
                <w:tcPr/>
                <w:p>
                  <w:pPr>
                    <w:pStyle w:val="Compact"/>
                    <w:jc w:val="right"/>
                    <w:jc w:val="center"/>
                  </w:pPr>
                  <w:r>
                    <w:t xml:space="preserve">22</w:t>
                  </w:r>
                </w:p>
              </w:tc>
              <w:tc>
                <w:tcPr/>
                <w:p>
                  <w:pPr>
                    <w:pStyle w:val="Compact"/>
                    <w:jc w:val="center"/>
                    <w:jc w:val="center"/>
                  </w:pPr>
                  <w:r>
                    <w:t xml:space="preserve">11.11 (7.45–16.25)</w:t>
                  </w:r>
                </w:p>
              </w:tc>
              <w:tc>
                <w:tcPr/>
                <w:p>
                  <w:pPr>
                    <w:pStyle w:val="Compact"/>
                    <w:jc w:val="center"/>
                    <w:jc w:val="center"/>
                  </w:pPr>
                  <w:r>
                    <w:t xml:space="preserve">5.7 (3.6–9.0)</w:t>
                  </w:r>
                </w:p>
              </w:tc>
              <w:tc>
                <w:tcPr/>
                <w:p>
                  <w:pPr>
                    <w:pStyle w:val="Compact"/>
                    <w:jc w:val="center"/>
                    <w:jc w:val="center"/>
                  </w:pPr>
                  <w:r>
                    <w:t xml:space="preserve">1.5×10⁻¹³</w:t>
                  </w:r>
                </w:p>
              </w:tc>
            </w:tr>
            <w:tr>
              <w:tc>
                <w:tcPr/>
                <w:p>
                  <w:pPr>
                    <w:pStyle w:val="Compact"/>
                    <w:jc w:val="left"/>
                    <w:jc w:val="center"/>
                  </w:pPr>
                  <w:r>
                    <w:t xml:space="preserve">Cell line</w:t>
                  </w:r>
                </w:p>
              </w:tc>
              <w:tc>
                <w:tcPr/>
                <w:p>
                  <w:pPr>
                    <w:pStyle w:val="Compact"/>
                    <w:jc w:val="right"/>
                    <w:jc w:val="center"/>
                  </w:pPr>
                  <w:r>
                    <w:t xml:space="preserve">410</w:t>
                  </w:r>
                </w:p>
              </w:tc>
              <w:tc>
                <w:tcPr/>
                <w:p>
                  <w:pPr>
                    <w:pStyle w:val="Compact"/>
                    <w:jc w:val="right"/>
                    <w:jc w:val="center"/>
                  </w:pPr>
                  <w:r>
                    <w:t xml:space="preserve">37</w:t>
                  </w:r>
                </w:p>
              </w:tc>
              <w:tc>
                <w:tcPr/>
                <w:p>
                  <w:pPr>
                    <w:pStyle w:val="Compact"/>
                    <w:jc w:val="center"/>
                    <w:jc w:val="center"/>
                  </w:pPr>
                  <w:r>
                    <w:t xml:space="preserve">9.02 (6.62–12.19)</w:t>
                  </w:r>
                </w:p>
              </w:tc>
              <w:tc>
                <w:tcPr/>
                <w:p>
                  <w:pPr>
                    <w:pStyle w:val="Compact"/>
                    <w:jc w:val="center"/>
                    <w:jc w:val="center"/>
                  </w:pPr>
                  <w:r>
                    <w:t xml:space="preserve">4.5 (3.1–6.5)</w:t>
                  </w:r>
                </w:p>
              </w:tc>
              <w:tc>
                <w:tcPr/>
                <w:p>
                  <w:pPr>
                    <w:pStyle w:val="Compact"/>
                    <w:jc w:val="center"/>
                    <w:jc w:val="center"/>
                  </w:pPr>
                  <w:r>
                    <w:t xml:space="preserve">2.9×10⁻¹⁶</w:t>
                  </w:r>
                </w:p>
              </w:tc>
            </w:tr>
          </w:tbl>
          <w:bookmarkEnd w:id="36"/>
          <w:p/>
        </w:tc>
      </w:tr>
    </w:tbl>
    <w:bookmarkEnd w:id="37"/>
    <w:bookmarkStart w:id="4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1</w:t>
        </w:r>
      </w:hyperlink>
      <w:r>
        <w:t xml:space="preserve">). Productive controls (warts/condyloma) were detected at or above the control-calibrated detection floor (13.1 RPM) in 93% of libraries, with a median burden of 5,408 RPM. In stark contrast, the neoplasia tier reached this floor in only 1.4% of libraries (median 0.005 RPM), close to unselected skin (0.5%) and far below the productive controls, despite being the most deeply sequenced tier of all (median 44.3M vs 11.9M reads for controls).</w:t>
      </w:r>
    </w:p>
    <w:tbl>
      <w:tblPr>
        <w:tblStyle w:val="Table"/>
        <w:tblW w:type="pct" w:w="5000"/>
        <w:tblLayout w:type="fixed"/>
        <w:tblLook w:firstRow="0" w:lastRow="0" w:firstColumn="0" w:lastColumn="0" w:noHBand="0" w:noVBand="0" w:val="0000"/>
      </w:tblPr>
      <w:tblGrid>
        <w:gridCol w:w="7920"/>
      </w:tblGrid>
      <w:tr>
        <w:tc>
          <w:tcPr/>
          <w:bookmarkStart w:id="41" w:name="fig-rpm"/>
          <w:p>
            <w:pPr>
              <w:pStyle w:val="Compact"/>
              <w:jc w:val="center"/>
            </w:pPr>
            <w:r>
              <w:drawing>
                <wp:inline>
                  <wp:extent cx="5943600" cy="363220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Depth-normalised HPV transcript burden distinguishes productive warts and EV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7,358), cell lines (692), productive controls (warts/condyloma; 43), cutaneous neoplasia (cSCC/actinic keratosis; 442), and other tissues (2,747).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(13.1 RPM, the 5th percentile of productive-control libraries). Productive controls lie far above the floor (median 5,408 RPM; 93% of libraries above floor), whereas neoplasia and unselected skin sit near zero (1.4% and 0.5% above floor) despite neoplasia being the most deeply sequenced tier. Epidermodysplasia verruciformis (EV) libraries were metadata-flagged as cultures and fall within the cell-line tier.</w:t>
            </w:r>
          </w:p>
          <w:bookmarkEnd w:id="41"/>
        </w:tc>
      </w:tr>
    </w:tbl>
    <w:p>
      <w:pPr>
        <w:pStyle w:val="BodyText"/>
      </w:pPr>
      <w:r>
        <w:t xml:space="preserve">This gap is not explained by sequencing depth. Modelling productive-level detection (RPM ≥ floor) as a function of population tier and log sequencing depth, neoplasia did not significantly differ from unselected skin after depth adjustment (OR 2.0, 95% CI 0.8–4.7,</w:t>
      </w:r>
      <w:r>
        <w:t xml:space="preserve"> </w:t>
      </w:r>
      <w:r>
        <w:rPr>
          <w:i/>
          <w:iCs/>
        </w:rPr>
        <w:t xml:space="preserve">P</w:t>
      </w:r>
      <w:r>
        <w:t xml:space="preserve"> </w:t>
      </w:r>
      <w:r>
        <w:t xml:space="preserve">= 0.14), whereas productive controls exceeded unselected skin by three orders of magnitude (Fisher exact OR 2,515, 95% CI 754–16,384,</w:t>
      </w:r>
      <w:r>
        <w:t xml:space="preserve"> </w:t>
      </w:r>
      <w:r>
        <w:rPr>
          <w:i/>
          <w:iCs/>
        </w:rPr>
        <w:t xml:space="preserve">P</w:t>
      </w:r>
      <w:r>
        <w:t xml:space="preserve"> </w:t>
      </w:r>
      <w:r>
        <w:t xml:space="preserve">= 4.9×10⁻⁸¹). Sequencing depth did raise the odds of detecting</w:t>
      </w:r>
      <w:r>
        <w:t xml:space="preserve"> </w:t>
      </w:r>
      <w:r>
        <w:rPr>
          <w:i/>
          <w:iCs/>
        </w:rPr>
        <w:t xml:space="preserve">any</w:t>
      </w:r>
      <w:r>
        <w:t xml:space="preserve"> </w:t>
      </w:r>
      <w:r>
        <w:t xml:space="preserve">HPV read (OR per log₁₀ reads 4.6, 4.1–5.3,</w:t>
      </w:r>
      <w:r>
        <w:t xml:space="preserve"> </w:t>
      </w:r>
      <w:r>
        <w:rPr>
          <w:i/>
          <w:iCs/>
        </w:rPr>
        <w:t xml:space="preserve">P</w:t>
      </w:r>
      <w:r>
        <w:t xml:space="preserve"> </w:t>
      </w:r>
      <w:r>
        <w:t xml:space="preserve">= 2.7×10⁻¹¹⁸), but within the neoplasia tier alone deeper sequencing bought no additional productive-level detection (OR 1.7, 95% CI 0.1–23,</w:t>
      </w:r>
      <w:r>
        <w:t xml:space="preserve"> </w:t>
      </w:r>
      <w:r>
        <w:rPr>
          <w:i/>
          <w:iCs/>
        </w:rPr>
        <w:t xml:space="preserve">P</w:t>
      </w:r>
      <w:r>
        <w:t xml:space="preserve"> </w:t>
      </w:r>
      <w:r>
        <w:t xml:space="preserve">= 0.68). Even the deepest cSCC/AK libraries did not cross the productive floor. Consistent with a residual hit-and-run footprint rather than active infection, neoplasia showed a modest excess of</w:t>
      </w:r>
      <w:r>
        <w:t xml:space="preserve"> </w:t>
      </w:r>
      <w:r>
        <w:rPr>
          <w:i/>
          <w:iCs/>
        </w:rPr>
        <w:t xml:space="preserve">trace</w:t>
      </w:r>
      <w:r>
        <w:t xml:space="preserve"> </w:t>
      </w:r>
      <w:r>
        <w:t xml:space="preserve">HPV (any read; OR 1.7, 95% CI 1.4–2.0,</w:t>
      </w:r>
      <w:r>
        <w:t xml:space="preserve"> </w:t>
      </w:r>
      <w:r>
        <w:rPr>
          <w:i/>
          <w:iCs/>
        </w:rPr>
        <w:t xml:space="preserve">P</w:t>
      </w:r>
      <w:r>
        <w:t xml:space="preserve"> </w:t>
      </w:r>
      <w:r>
        <w:t xml:space="preserve">= 7.9×10⁻⁷ vs unselected skin), but this trace signal never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As a data-hygiene safeguard, the 3 high-risk</w:t>
      </w:r>
      <w:r>
        <w:t xml:space="preserve"> </w:t>
      </w:r>
      <w:r>
        <w:rPr>
          <w:i/>
          <w:iCs/>
        </w:rPr>
        <w:t xml:space="preserve">mucosal</w:t>
      </w:r>
      <w:r>
        <w:t xml:space="preserve"> </w:t>
      </w:r>
      <w:r>
        <w:t xml:space="preserve">HPV16 cases (CIN/SCC) that the broadened SCC/CIN query captured were conservatively retained in the neoplasia tier (</w:t>
      </w:r>
      <w:hyperlink w:anchor="supptbl-cin">
        <w:r>
          <w:rPr>
            <w:rStyle w:val="Hyperlink"/>
          </w:rPr>
          <w:t xml:space="preserve">Table S4</w:t>
        </w:r>
      </w:hyperlink>
      <w:r>
        <w:t xml:space="preserve">); excluding them only sharpens the result, lowering cutaneous-neoplasia productive-level detection to 0.7% (indistinguishable from unselected skin: OR 1.0,</w:t>
      </w:r>
      <w:r>
        <w:t xml:space="preserve"> </w:t>
      </w:r>
      <w:r>
        <w:rPr>
          <w:i/>
          <w:iCs/>
        </w:rPr>
        <w:t xml:space="preserve">P</w:t>
      </w:r>
      <w:r>
        <w:t xml:space="preserve"> </w:t>
      </w:r>
      <w:r>
        <w:t xml:space="preserve">= 0.98) and strengthening the productivity contrast against warts/EV (OR 5.2,</w:t>
      </w:r>
      <w:r>
        <w:t xml:space="preserve"> </w:t>
      </w:r>
      <w:r>
        <w:rPr>
          <w:i/>
          <w:iCs/>
        </w:rPr>
        <w:t xml:space="preserve">P</w:t>
      </w:r>
      <w:r>
        <w:t xml:space="preserve"> </w:t>
      </w:r>
      <w:r>
        <w:t xml:space="preserve">= 0.0038), so the retained tier represents the conservative choice.</w:t>
      </w:r>
    </w:p>
    <w:bookmarkEnd w:id="42"/>
    <w:bookmarkStart w:id="4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cSCC/CIN skin library productively infected with the gamma-type HPV12 (99.8% genome coverage; L1 = 1,803, L2 = 3,546 reads), two HPV16-productive cSCC libraries, and two</w:t>
      </w:r>
      <w:r>
        <w:t xml:space="preserve"> </w:t>
      </w:r>
      <w:r>
        <w:t xml:space="preserve">“other-tissue”</w:t>
      </w:r>
      <w:r>
        <w:t xml:space="preserve"> </w:t>
      </w:r>
      <w:r>
        <w:t xml:space="preserve">libraries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non-traditional-tissue and productive-infection questions: bona fide, high-confidence productive beta/gamma-HPV infections do occur in primary skin and skin-associated lesions, but they are the exception against a null background.</w:t>
      </w:r>
    </w:p>
    <w:bookmarkEnd w:id="43"/>
    <w:bookmarkStart w:id="4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the high-risk mucosal types HPV16/HPV18 are confined almost entirely to cell-line and engineered material; productive controls are dominated by cutaneous wart and low-risk types (HPV57, HPV2, HPV27, HPV6/11, plus diverse beta/gamma types); unselected skin shows a sparse, low-burden scatter of beta/gamma types; and the genuine neoplasia-associated productive infections are the gamma/alpha types noted above (HPV12, HPV16, HPV96, HPV182). The epidemiological reservoir of cutaneous beta/gamma HPV in healthy skin is therefore real but transcriptionally quiet, productive disease is the property of warts/EV,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S5</w:t>
        </w:r>
      </w:hyperlink>
      <w:r>
        <w:t xml:space="preserve">). This recovers the expected commensal signal at the sensitivity floor: healthy skin carried a diverse cutaneous reservoir (39 of 56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bookmarkEnd w:id="44"/>
    <w:bookmarkStart w:id="4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4.4 [3.0, 6.3], engineered OR 5.5 [3.3, 8.6], neoplasia trace OR 1.7 [1.4, 2.1]; each with P(OR &gt; 1) &gt; 0.999). Crucially, the productive-controls-versus-skin contrast, whose frequentist odds ratio (2,515) is inflated and unstable under separation, regularised to a finite but still enormous posterior OR of 1,837 [715, 6,087] (2,527 [873, 10,576]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1.8 [0.2, 21]), and the warts/EV-versus-neoplasia productivity contrast held (OR 3.7 [1.3, 11], P(OR &gt; 1) = 0.991). The only effect the posterior nuances is the depth-adjusted neoplasia-versus-skin comparison at productive level, whose credible interval includes no difference (OR 1.9 [0.7, 4.2], consistent with the frequentist</w:t>
      </w:r>
      <w:r>
        <w:t xml:space="preserve"> </w:t>
      </w:r>
      <w:r>
        <w:rPr>
          <w:i/>
          <w:iCs/>
        </w:rPr>
        <w:t xml:space="preserve">P</w:t>
      </w:r>
      <w:r>
        <w:t xml:space="preserve"> </w:t>
      </w:r>
      <w:r>
        <w:t xml:space="preserve">= 0.14) but which places 0.901 posterior probability on a</w:t>
      </w:r>
      <w:r>
        <w:t xml:space="preserve"> </w:t>
      </w:r>
      <w:r>
        <w:rPr>
          <w:i/>
          <w:iCs/>
        </w:rPr>
        <w:t xml:space="preserve">small</w:t>
      </w:r>
      <w:r>
        <w:t xml:space="preserve"> </w:t>
      </w:r>
      <w:r>
        <w:t xml:space="preserve">elevation; even if genuine, such a footprint is negligible beside the three-orders-of-magnitude productive-control effect and does not alter the trace-not-productive conclusion.</w:t>
      </w:r>
    </w:p>
    <w:bookmarkEnd w:id="45"/>
    <w:bookmarkEnd w:id="46"/>
    <w:bookmarkStart w:id="52"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4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442 cSCC/AK libraries, productive-level HPV burden did not significantly differ from unselected skin after depth adjustment (OR 2.0,</w:t>
      </w:r>
      <w:r>
        <w:t xml:space="preserve"> </w:t>
      </w:r>
      <w:r>
        <w:rPr>
          <w:i/>
          <w:iCs/>
        </w:rPr>
        <w:t xml:space="preserve">P</w:t>
      </w:r>
      <w:r>
        <w:t xml:space="preserve"> </w:t>
      </w:r>
      <w:r>
        <w:t xml:space="preserve">= 0.14), while a modest excess of</w:t>
      </w:r>
      <w:r>
        <w:t xml:space="preserve"> </w:t>
      </w:r>
      <w:r>
        <w:rPr>
          <w:i/>
          <w:iCs/>
        </w:rPr>
        <w:t xml:space="preserve">trace</w:t>
      </w:r>
      <w:r>
        <w:t xml:space="preserve"> </w:t>
      </w:r>
      <w:r>
        <w:t xml:space="preserve">HPV reads persisted (OR 1.7,</w:t>
      </w:r>
      <w:r>
        <w:t xml:space="preserve"> </w:t>
      </w:r>
      <w:r>
        <w:rPr>
          <w:i/>
          <w:iCs/>
        </w:rPr>
        <w:t xml:space="preserve">P</w:t>
      </w:r>
      <w:r>
        <w:t xml:space="preserve"> </w:t>
      </w:r>
      <w:r>
        <w:t xml:space="preserve">= 7.9×10⁻⁷), precisely the residual footprint, rather than active infection, that hit-and-run predicts. This extends a long-standing but contested single-study observation. More than a decade ago,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our results confirm that conclusion at two orders of magnitude greater scale and show that it is not an artefact of shallow sequencing: the neoplasia libraries were in fact the most deeply sequenced tier, and even the deepest among them did not cross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47"/>
    <w:bookmarkStart w:id="4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questions about non-traditional tissues and productive infection.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48"/>
    <w:bookmarkStart w:id="4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four- to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49"/>
    <w:bookmarkStart w:id="50"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 selection biases viral recovery: poly-A-selected protocols can deplete viral transcripts, and library types are heterogeneous across studies, so absence of HPV reads is not proof of absence of virus, and our productivity estimates are conservative. Third, tissue and diagnosis labels were derived programmatically from sample metadata and are imperfect, despite curation; residual misclassification adds noise to the tier assignments. Fourth,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Fifth,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50"/>
    <w:bookmarkStart w:id="51"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51"/>
    <w:bookmarkEnd w:id="52"/>
    <w:bookmarkStart w:id="120" w:name="references"/>
    <w:p>
      <w:pPr>
        <w:pStyle w:val="Heading2"/>
      </w:pPr>
      <w:r>
        <w:t xml:space="preserve">References</w:t>
      </w:r>
    </w:p>
    <w:bookmarkStart w:id="119" w:name="refs"/>
    <w:bookmarkStart w:id="54"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3">
        <w:r>
          <w:rPr>
            <w:rStyle w:val="Hyperlink"/>
          </w:rPr>
          <w:t xml:space="preserve">https://doi.org/10.1038/nature12064</w:t>
        </w:r>
      </w:hyperlink>
      <w:r>
        <w:t xml:space="preserve">.</w:t>
      </w:r>
    </w:p>
    <w:bookmarkEnd w:id="54"/>
    <w:bookmarkStart w:id="56"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5">
        <w:r>
          <w:rPr>
            <w:rStyle w:val="Hyperlink"/>
          </w:rPr>
          <w:t xml:space="preserve">https://doi.org/10.1128/JVI.74.24.11636-11641.2000</w:t>
        </w:r>
      </w:hyperlink>
      <w:r>
        <w:t xml:space="preserve">.</w:t>
      </w:r>
    </w:p>
    <w:bookmarkEnd w:id="56"/>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w:t>
      </w:r>
    </w:p>
    <w:bookmarkEnd w:id="57"/>
    <w:bookmarkStart w:id="5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58"/>
    <w:bookmarkStart w:id="6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59">
        <w:r>
          <w:rPr>
            <w:rStyle w:val="Hyperlink"/>
          </w:rPr>
          <w:t xml:space="preserve">https://doi.org/10.3389/fmicb.2018.00117</w:t>
        </w:r>
      </w:hyperlink>
      <w:r>
        <w:t xml:space="preserve">.</w:t>
      </w:r>
    </w:p>
    <w:bookmarkEnd w:id="60"/>
    <w:bookmarkStart w:id="61"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61"/>
    <w:bookmarkStart w:id="63"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2">
        <w:r>
          <w:rPr>
            <w:rStyle w:val="Hyperlink"/>
          </w:rPr>
          <w:t xml:space="preserve">https://doi.org/10.1128/JVI.03365-14</w:t>
        </w:r>
      </w:hyperlink>
      <w:r>
        <w:t xml:space="preserve">.</w:t>
      </w:r>
    </w:p>
    <w:bookmarkEnd w:id="63"/>
    <w:bookmarkStart w:id="65"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64">
        <w:r>
          <w:rPr>
            <w:rStyle w:val="Hyperlink"/>
          </w:rPr>
          <w:t xml:space="preserve">https://doi.org/10.1093/bioinformatics/bty560</w:t>
        </w:r>
      </w:hyperlink>
      <w:r>
        <w:t xml:space="preserve">.</w:t>
      </w:r>
    </w:p>
    <w:bookmarkEnd w:id="65"/>
    <w:bookmarkStart w:id="67"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66">
        <w:r>
          <w:rPr>
            <w:rStyle w:val="Hyperlink"/>
          </w:rPr>
          <w:t xml:space="preserve">https://doi.org/10.1093/gigascience/giab008</w:t>
        </w:r>
      </w:hyperlink>
      <w:r>
        <w:t xml:space="preserve">.</w:t>
      </w:r>
    </w:p>
    <w:bookmarkEnd w:id="67"/>
    <w:bookmarkStart w:id="69"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68">
        <w:r>
          <w:rPr>
            <w:rStyle w:val="Hyperlink"/>
          </w:rPr>
          <w:t xml:space="preserve">https://doi.org/10.1038/nbt.3820</w:t>
        </w:r>
      </w:hyperlink>
      <w:r>
        <w:t xml:space="preserve">.</w:t>
      </w:r>
    </w:p>
    <w:bookmarkEnd w:id="69"/>
    <w:bookmarkStart w:id="71"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0">
        <w:r>
          <w:rPr>
            <w:rStyle w:val="Hyperlink"/>
          </w:rPr>
          <w:t xml:space="preserve">https://doi.org/10.1093/bioinformatics/bts635</w:t>
        </w:r>
      </w:hyperlink>
      <w:r>
        <w:t xml:space="preserve">.</w:t>
      </w:r>
    </w:p>
    <w:bookmarkEnd w:id="71"/>
    <w:bookmarkStart w:id="72"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72"/>
    <w:bookmarkStart w:id="73"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73"/>
    <w:bookmarkStart w:id="7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74"/>
    <w:bookmarkStart w:id="7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75">
        <w:r>
          <w:rPr>
            <w:rStyle w:val="Hyperlink"/>
          </w:rPr>
          <w:t xml:space="preserve">https://doi.org/10.1038/s41586-021-04332-2</w:t>
        </w:r>
      </w:hyperlink>
      <w:r>
        <w:t xml:space="preserve">.</w:t>
      </w:r>
    </w:p>
    <w:bookmarkEnd w:id="76"/>
    <w:bookmarkStart w:id="77"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77"/>
    <w:bookmarkStart w:id="78"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78"/>
    <w:bookmarkStart w:id="8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79">
        <w:r>
          <w:rPr>
            <w:rStyle w:val="Hyperlink"/>
          </w:rPr>
          <w:t xml:space="preserve">https://mc-stan.org/rstanarm/</w:t>
        </w:r>
      </w:hyperlink>
      <w:r>
        <w:t xml:space="preserve">.</w:t>
      </w:r>
    </w:p>
    <w:bookmarkEnd w:id="80"/>
    <w:bookmarkStart w:id="8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81"/>
    <w:bookmarkStart w:id="8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82"/>
    <w:bookmarkStart w:id="8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83"/>
    <w:bookmarkStart w:id="8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84">
        <w:r>
          <w:rPr>
            <w:rStyle w:val="Hyperlink"/>
          </w:rPr>
          <w:t xml:space="preserve">https://doi.org/10.1084/jem.20170308</w:t>
        </w:r>
      </w:hyperlink>
      <w:r>
        <w:t xml:space="preserve">.</w:t>
      </w:r>
    </w:p>
    <w:bookmarkEnd w:id="85"/>
    <w:bookmarkStart w:id="8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86"/>
    <w:bookmarkStart w:id="8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87">
        <w:r>
          <w:rPr>
            <w:rStyle w:val="Hyperlink"/>
          </w:rPr>
          <w:t xml:space="preserve">https://doi.org/10.1128/JVI.00822-15</w:t>
        </w:r>
      </w:hyperlink>
      <w:r>
        <w:t xml:space="preserve">.</w:t>
      </w:r>
    </w:p>
    <w:bookmarkEnd w:id="88"/>
    <w:bookmarkStart w:id="8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89"/>
    <w:bookmarkStart w:id="90"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90"/>
    <w:bookmarkStart w:id="92"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1">
        <w:r>
          <w:rPr>
            <w:rStyle w:val="Hyperlink"/>
          </w:rPr>
          <w:t xml:space="preserve">https://doi.org/10.1093/nar/gkq1019</w:t>
        </w:r>
      </w:hyperlink>
      <w:r>
        <w:t xml:space="preserve">.</w:t>
      </w:r>
    </w:p>
    <w:bookmarkEnd w:id="92"/>
    <w:bookmarkStart w:id="94"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93">
        <w:r>
          <w:rPr>
            <w:rStyle w:val="Hyperlink"/>
          </w:rPr>
          <w:t xml:space="preserve">https://doi.org/10.1093/bioinformatics/btt656</w:t>
        </w:r>
      </w:hyperlink>
      <w:r>
        <w:t xml:space="preserve">.</w:t>
      </w:r>
    </w:p>
    <w:bookmarkEnd w:id="94"/>
    <w:bookmarkStart w:id="95"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95"/>
    <w:bookmarkStart w:id="96"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96"/>
    <w:bookmarkStart w:id="9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97"/>
    <w:bookmarkStart w:id="9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98"/>
    <w:bookmarkStart w:id="10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99">
        <w:r>
          <w:rPr>
            <w:rStyle w:val="Hyperlink"/>
          </w:rPr>
          <w:t xml:space="preserve">https://doi.org/10.1038/ng1044</w:t>
        </w:r>
      </w:hyperlink>
      <w:r>
        <w:t xml:space="preserve">.</w:t>
      </w:r>
    </w:p>
    <w:bookmarkEnd w:id="100"/>
    <w:bookmarkStart w:id="102"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01">
        <w:r>
          <w:rPr>
            <w:rStyle w:val="Hyperlink"/>
          </w:rPr>
          <w:t xml:space="preserve">https://doi.org/10.1128/JVI.01003-18</w:t>
        </w:r>
      </w:hyperlink>
      <w:r>
        <w:t xml:space="preserve">.</w:t>
      </w:r>
    </w:p>
    <w:bookmarkEnd w:id="102"/>
    <w:bookmarkStart w:id="104"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4"/>
    <w:bookmarkStart w:id="10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05">
        <w:r>
          <w:rPr>
            <w:rStyle w:val="Hyperlink"/>
          </w:rPr>
          <w:t xml:space="preserve">https://doi.org/10.1371/journal.pone.0163962</w:t>
        </w:r>
      </w:hyperlink>
      <w:r>
        <w:t xml:space="preserve">.</w:t>
      </w:r>
    </w:p>
    <w:bookmarkEnd w:id="106"/>
    <w:bookmarkStart w:id="108"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07">
        <w:r>
          <w:rPr>
            <w:rStyle w:val="Hyperlink"/>
          </w:rPr>
          <w:t xml:space="preserve">https://doi.org/10.1038/s41586-019-1719-9</w:t>
        </w:r>
      </w:hyperlink>
      <w:r>
        <w:t xml:space="preserve">.</w:t>
      </w:r>
    </w:p>
    <w:bookmarkEnd w:id="108"/>
    <w:bookmarkStart w:id="109"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09"/>
    <w:bookmarkStart w:id="111"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10">
        <w:r>
          <w:rPr>
            <w:rStyle w:val="Hyperlink"/>
          </w:rPr>
          <w:t xml:space="preserve">https://doi.org/10.1093/nar/gkw879</w:t>
        </w:r>
      </w:hyperlink>
      <w:r>
        <w:t xml:space="preserve">.</w:t>
      </w:r>
    </w:p>
    <w:bookmarkEnd w:id="111"/>
    <w:bookmarkStart w:id="113"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12">
        <w:r>
          <w:rPr>
            <w:rStyle w:val="Hyperlink"/>
          </w:rPr>
          <w:t xml:space="preserve">https://doi.org/10.1371/journal.ppat.1006783</w:t>
        </w:r>
      </w:hyperlink>
      <w:r>
        <w:t xml:space="preserve">.</w:t>
      </w:r>
    </w:p>
    <w:bookmarkEnd w:id="113"/>
    <w:bookmarkStart w:id="114"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14"/>
    <w:bookmarkStart w:id="115"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15"/>
    <w:bookmarkStart w:id="117"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16">
        <w:r>
          <w:rPr>
            <w:rStyle w:val="Hyperlink"/>
          </w:rPr>
          <w:t xml:space="preserve">https://doi.org/10.1186/s13059-019-1891-0</w:t>
        </w:r>
      </w:hyperlink>
      <w:r>
        <w:t xml:space="preserve">.</w:t>
      </w:r>
    </w:p>
    <w:bookmarkEnd w:id="117"/>
    <w:bookmarkStart w:id="118"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18"/>
    <w:bookmarkEnd w:id="119"/>
    <w:bookmarkEnd w:id="120"/>
    <w:bookmarkStart w:id="130"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24" w:name="suppfig-depth"/>
          <w:p>
            <w:pPr>
              <w:pStyle w:val="Compact"/>
              <w:jc w:val="center"/>
            </w:pPr>
            <w:r>
              <w:drawing>
                <wp:inline>
                  <wp:extent cx="5943600" cy="3714749"/>
                  <wp:effectExtent b="0" l="0" r="0" t="0"/>
                  <wp:docPr descr="" title="" id="122" name="Picture"/>
                  <a:graphic>
                    <a:graphicData uri="http://schemas.openxmlformats.org/drawingml/2006/picture">
                      <pic:pic>
                        <pic:nvPicPr>
                          <pic:cNvPr descr="figureS1.png" id="123" name="Picture"/>
                          <pic:cNvPicPr>
                            <a:picLocks noChangeArrowheads="1" noChangeAspect="1"/>
                          </pic:cNvPicPr>
                        </pic:nvPicPr>
                        <pic:blipFill>
                          <a:blip r:embed="rId12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(13.1 RPM) is plotted within five total-read bins (&lt;5M, 5–10M, 10–20M, 20–40M, &gt;40M reads). Productive controls (warts/condyloma) detect at 90–100% in every bin in which they occur,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1</w:t>
              </w:r>
            </w:hyperlink>
            <w:r>
              <w:t xml:space="preserve"> </w:t>
            </w:r>
            <w:r>
              <w:t xml:space="preserve">is not produced by differences in sequencing depth. Point size is proportional to the number of libraries in each tier × bin.</w:t>
            </w:r>
          </w:p>
          <w:bookmarkEnd w:id="1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5" w:name="supptbl-types"/>
          <w:tbl>
            <w:tblPr>
              <w:tblStyle w:val="Table"/>
              <w:tblW w:type="pct" w:w="5000"/>
              <w:tblLayout w:type="fixed"/>
              <w:tblLook w:firstRow="1" w:lastRow="0" w:firstColumn="0" w:lastColumn="0" w:noHBand="0" w:noVBand="0" w:val="0020"/>
            </w:tblPr>
            <w:tblGrid>
              <w:gridCol w:w="594"/>
              <w:gridCol w:w="1716"/>
              <w:gridCol w:w="1782"/>
              <w:gridCol w:w="1188"/>
              <w:gridCol w:w="1188"/>
              <w:gridCol w:w="1056"/>
              <w:gridCol w:w="396"/>
            </w:tblGrid>
            <w:tr>
              <w:trPr>
                <w:tblHeader w:val="on"/>
              </w:trPr>
              <w:tc>
                <w:tcPr/>
                <w:p>
                  <w:pPr>
                    <w:pStyle w:val="Compact"/>
                    <w:jc w:val="left"/>
                    <w:jc w:val="center"/>
                  </w:pPr>
                  <w:r>
                    <w:t xml:space="preserve">HPV type</w:t>
                  </w:r>
                </w:p>
              </w:tc>
              <w:tc>
                <w:tcPr/>
                <w:p>
                  <w:pPr>
                    <w:pStyle w:val="Compact"/>
                    <w:jc w:val="right"/>
                    <w:jc w:val="center"/>
                  </w:pPr>
                  <w:r>
                    <w:t xml:space="preserve">Unselected skin (N=7,358)</w:t>
                  </w:r>
                </w:p>
              </w:tc>
              <w:tc>
                <w:tcPr/>
                <w:p>
                  <w:pPr>
                    <w:pStyle w:val="Compact"/>
                    <w:jc w:val="right"/>
                    <w:jc w:val="center"/>
                  </w:pPr>
                  <w:r>
                    <w:t xml:space="preserve">Productive controls (N=43)</w:t>
                  </w:r>
                </w:p>
              </w:tc>
              <w:tc>
                <w:tcPr/>
                <w:p>
                  <w:pPr>
                    <w:pStyle w:val="Compact"/>
                    <w:jc w:val="right"/>
                    <w:jc w:val="center"/>
                  </w:pPr>
                  <w:r>
                    <w:t xml:space="preserve">Neoplasia (N=442)</w:t>
                  </w:r>
                </w:p>
              </w:tc>
              <w:tc>
                <w:tcPr/>
                <w:p>
                  <w:pPr>
                    <w:pStyle w:val="Compact"/>
                    <w:jc w:val="right"/>
                    <w:jc w:val="center"/>
                  </w:pPr>
                  <w:r>
                    <w:t xml:space="preserve">Cell line (N=692)</w:t>
                  </w:r>
                </w:p>
              </w:tc>
              <w:tc>
                <w:tcPr/>
                <w:p>
                  <w:pPr>
                    <w:pStyle w:val="Compact"/>
                    <w:jc w:val="right"/>
                    <w:jc w:val="center"/>
                  </w:pPr>
                  <w:r>
                    <w:t xml:space="preserve">Other (N=2,747)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14 (0.20%)</w:t>
                  </w:r>
                </w:p>
              </w:tc>
              <w:tc>
                <w:tcPr/>
                <w:p>
                  <w:pPr>
                    <w:pStyle w:val="Compact"/>
                    <w:jc w:val="right"/>
                    <w:jc w:val="center"/>
                  </w:pPr>
                  <w:r>
                    <w:t xml:space="preserve">14 (33%)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(0.31%)</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(0.79%)</w:t>
                  </w:r>
                </w:p>
              </w:tc>
              <w:tc>
                <w:tcPr/>
                <w:p>
                  <w:pPr>
                    <w:pStyle w:val="Compact"/>
                    <w:jc w:val="right"/>
                    <w:jc w:val="center"/>
                  </w:pPr>
                  <w:r>
                    <w:t xml:space="preserve">24 (3.5%)</w:t>
                  </w:r>
                </w:p>
              </w:tc>
              <w:tc>
                <w:tcPr/>
                <w:p>
                  <w:pPr>
                    <w:pStyle w:val="Compact"/>
                    <w:jc w:val="right"/>
                    <w:jc w:val="center"/>
                  </w:pPr>
                  <w:r>
                    <w:t xml:space="preserve">1 (0.05%)</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13 (0.18%)</w:t>
                  </w:r>
                </w:p>
              </w:tc>
              <w:tc>
                <w:tcPr/>
                <w:p>
                  <w:pPr>
                    <w:pStyle w:val="Compact"/>
                    <w:jc w:val="right"/>
                    <w:jc w:val="center"/>
                  </w:pPr>
                  <w:r>
                    <w:t xml:space="preserve">9 (22%)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3 (0.05%)</w:t>
                  </w:r>
                </w:p>
              </w:tc>
              <w:tc>
                <w:tcPr/>
                <w:p>
                  <w:pPr>
                    <w:pStyle w:val="Compact"/>
                    <w:jc w:val="right"/>
                    <w:jc w:val="center"/>
                  </w:pPr>
                  <w:r>
                    <w:t xml:space="preserve">3 (8.0%)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(0.24%)</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1 (0.02%)</w:t>
                  </w:r>
                </w:p>
              </w:tc>
              <w:tc>
                <w:tcPr/>
                <w:p>
                  <w:pPr>
                    <w:pStyle w:val="Compact"/>
                    <w:jc w:val="right"/>
                    <w:jc w:val="center"/>
                  </w:pPr>
                  <w:r>
                    <w:t xml:space="preserve">6 (15%)</w:t>
                  </w:r>
                </w:p>
              </w:tc>
              <w:tc>
                <w:tcPr/>
                <w:p>
                  <w:pPr>
                    <w:pStyle w:val="Compact"/>
                    <w:jc w:val="right"/>
                    <w:jc w:val="center"/>
                  </w:pPr>
                  <w:r>
                    <w:t xml:space="preserve">0</w:t>
                  </w:r>
                </w:p>
              </w:tc>
              <w:tc>
                <w:tcPr/>
                <w:p>
                  <w:pPr>
                    <w:pStyle w:val="Compact"/>
                    <w:jc w:val="right"/>
                    <w:jc w:val="center"/>
                  </w:pPr>
                  <w:r>
                    <w:t xml:space="preserve">1 (0.22%)</w:t>
                  </w:r>
                </w:p>
              </w:tc>
              <w:tc>
                <w:tcPr/>
                <w:p>
                  <w:pPr>
                    <w:pStyle w:val="Compact"/>
                    <w:jc w:val="righ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6 (0.09%)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3 (0.05%)</w:t>
                  </w:r>
                </w:p>
              </w:tc>
              <w:tc>
                <w:tcPr/>
                <w:p>
                  <w:pPr>
                    <w:pStyle w:val="Compact"/>
                    <w:jc w:val="right"/>
                    <w:jc w:val="center"/>
                  </w:pPr>
                  <w:r>
                    <w:t xml:space="preserve">3 (8.0%)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w:t>
                  </w:r>
                </w:p>
              </w:tc>
            </w:tr>
            <w:tr>
              <w:tc>
                <w:tcPr/>
                <w:p>
                  <w:pPr>
                    <w:pStyle w:val="Compact"/>
                    <w:jc w:val="left"/>
                    <w:jc w:val="center"/>
                  </w:pPr>
                  <w:r>
                    <w:t xml:space="preserve">HPV74</w:t>
                  </w:r>
                </w:p>
              </w:tc>
              <w:tc>
                <w:tcPr/>
                <w:p>
                  <w:pPr>
                    <w:pStyle w:val="Compact"/>
                    <w:jc w:val="right"/>
                    <w:jc w:val="center"/>
                  </w:pPr>
                  <w:r>
                    <w:t xml:space="preserve">5 (0.07%)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1 (0.02%)</w:t>
                  </w:r>
                </w:p>
              </w:tc>
              <w:tc>
                <w:tcPr/>
                <w:p>
                  <w:pPr>
                    <w:pStyle w:val="Compact"/>
                    <w:jc w:val="right"/>
                    <w:jc w:val="center"/>
                  </w:pPr>
                  <w:r>
                    <w:t xml:space="preserve">3 (8.0%)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3</w:t>
                  </w:r>
                </w:p>
              </w:tc>
            </w:tr>
            <w:tr>
              <w:tc>
                <w:tcPr/>
                <w:p>
                  <w:pPr>
                    <w:pStyle w:val="Compact"/>
                    <w:jc w:val="left"/>
                    <w:jc w:val="center"/>
                  </w:pPr>
                  <w:r>
                    <w:t xml:space="preserve">HPV14</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unselected skin correspond to very different prevalences (33% [20–47] versus 0.20% [0.11–0.31]; posterior mean with 95% credible interval), and the high-risk mucosal types HPV16 and HPV18 are confined almost entirely to cell-line and engineered material (3.5% [2.3–5.0] and 4.7% [3.2–6.4] of cell-line libraries, versus below 0.1% of skin libraries for both), the signature of integrated-HPV cell-line contamination. Productive controls are dominated by cutaneous wart and low-risk types (HPV57, HPV2, HPV27, HPV6/11, HPV42), unselected skin shows a sparse, low-burden scatter of beta- and gamma-types, and the neoplasia-associated infections are the gamma- and alpha-types HPV12, HPV16, HPV96 and HPV182.</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productive"/>
          <w:tbl>
            <w:tblPr>
              <w:tblStyle w:val="Table"/>
              <w:tblW w:type="pct" w:w="5000"/>
              <w:tblLayout w:type="fixed"/>
              <w:tblLook w:firstRow="1" w:lastRow="0" w:firstColumn="0" w:lastColumn="0" w:noHBand="0" w:noVBand="0" w:val="0020"/>
            </w:tblPr>
            <w:tblGrid>
              <w:gridCol w:w="1067"/>
              <w:gridCol w:w="2313"/>
              <w:gridCol w:w="1423"/>
              <w:gridCol w:w="1512"/>
              <w:gridCol w:w="800"/>
              <w:gridCol w:w="80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Other (carcinoma; CIN)</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Other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 CIN)</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 CIN)</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w:t>
            </w:r>
            <w:r>
              <w:t xml:space="preserve"> </w:t>
            </w:r>
            <w:r>
              <w:t xml:space="preserve">“other-tissue”</w:t>
            </w:r>
            <w:r>
              <w:t xml:space="preserve"> </w:t>
            </w:r>
            <w:r>
              <w:t xml:space="preserve">co-infections (ERR2274877, ERR1971044)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1</w:t>
              </w:r>
            </w:hyperlink>
            <w:r>
              <w:t xml:space="preserve">).</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4.5 (2.9×10⁻¹⁶)</w:t>
                  </w:r>
                </w:p>
              </w:tc>
              <w:tc>
                <w:tcPr/>
                <w:p>
                  <w:pPr>
                    <w:pStyle w:val="Compact"/>
                    <w:jc w:val="left"/>
                    <w:jc w:val="center"/>
                  </w:pPr>
                  <w:r>
                    <w:t xml:space="preserve">4.4 [3.0, 6.3]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5.7 (1.5×10⁻¹³)</w:t>
                  </w:r>
                </w:p>
              </w:tc>
              <w:tc>
                <w:tcPr/>
                <w:p>
                  <w:pPr>
                    <w:pStyle w:val="Compact"/>
                    <w:jc w:val="left"/>
                    <w:jc w:val="center"/>
                  </w:pPr>
                  <w:r>
                    <w:t xml:space="preserve">5.5 [3.3, 8.6]</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2,515 (4.9×10⁻⁸¹)</w:t>
                  </w:r>
                </w:p>
              </w:tc>
              <w:tc>
                <w:tcPr/>
                <w:p>
                  <w:pPr>
                    <w:pStyle w:val="Compact"/>
                    <w:jc w:val="left"/>
                    <w:jc w:val="center"/>
                  </w:pPr>
                  <w:r>
                    <w:t xml:space="preserve">1,837 [715, 6,087]</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2.0 (0.14)</w:t>
                  </w:r>
                </w:p>
              </w:tc>
              <w:tc>
                <w:tcPr/>
                <w:p>
                  <w:pPr>
                    <w:pStyle w:val="Compact"/>
                    <w:jc w:val="left"/>
                    <w:jc w:val="center"/>
                  </w:pPr>
                  <w:r>
                    <w:t xml:space="preserve">1.9 [0.7, 4.2]</w:t>
                  </w:r>
                </w:p>
              </w:tc>
              <w:tc>
                <w:tcPr/>
                <w:p>
                  <w:pPr>
                    <w:pStyle w:val="Compact"/>
                    <w:jc w:val="right"/>
                    <w:jc w:val="center"/>
                  </w:pPr>
                  <w:r>
                    <w:t xml:space="preserve">0.901</w:t>
                  </w:r>
                </w:p>
              </w:tc>
            </w:tr>
            <w:tr>
              <w:tc>
                <w:tcPr/>
                <w:p>
                  <w:pPr>
                    <w:pStyle w:val="Compact"/>
                    <w:jc w:val="left"/>
                    <w:jc w:val="center"/>
                  </w:pPr>
                  <w:r>
                    <w:t xml:space="preserve">Sequencing depth, per 10× reads, floor (M2)</w:t>
                  </w:r>
                </w:p>
              </w:tc>
              <w:tc>
                <w:tcPr/>
                <w:p>
                  <w:pPr>
                    <w:pStyle w:val="Compact"/>
                    <w:jc w:val="left"/>
                    <w:jc w:val="center"/>
                  </w:pPr>
                  <w:r>
                    <w:t xml:space="preserve">2.9 (0.0029)</w:t>
                  </w:r>
                </w:p>
              </w:tc>
              <w:tc>
                <w:tcPr/>
                <w:p>
                  <w:pPr>
                    <w:pStyle w:val="Compact"/>
                    <w:jc w:val="left"/>
                    <w:jc w:val="center"/>
                  </w:pPr>
                  <w:r>
                    <w:t xml:space="preserve">2.8 [1.4, 5.9]</w:t>
                  </w:r>
                </w:p>
              </w:tc>
              <w:tc>
                <w:tcPr/>
                <w:p>
                  <w:pPr>
                    <w:pStyle w:val="Compact"/>
                    <w:jc w:val="right"/>
                    <w:jc w:val="center"/>
                  </w:pPr>
                  <w:r>
                    <w:t xml:space="preserve">&gt;0.999</w:t>
                  </w:r>
                </w:p>
              </w:tc>
            </w:tr>
            <w:tr>
              <w:tc>
                <w:tcPr/>
                <w:p>
                  <w:pPr>
                    <w:pStyle w:val="Compact"/>
                    <w:jc w:val="left"/>
                    <w:jc w:val="center"/>
                  </w:pPr>
                  <w:r>
                    <w:t xml:space="preserve">Sequencing depth within neoplasia, floor (M2)</w:t>
                  </w:r>
                </w:p>
              </w:tc>
              <w:tc>
                <w:tcPr/>
                <w:p>
                  <w:pPr>
                    <w:pStyle w:val="Compact"/>
                    <w:jc w:val="left"/>
                    <w:jc w:val="center"/>
                  </w:pPr>
                  <w:r>
                    <w:t xml:space="preserve">1.7 (0.68)</w:t>
                  </w:r>
                </w:p>
              </w:tc>
              <w:tc>
                <w:tcPr/>
                <w:p>
                  <w:pPr>
                    <w:pStyle w:val="Compact"/>
                    <w:jc w:val="left"/>
                    <w:jc w:val="center"/>
                  </w:pPr>
                  <w:r>
                    <w:t xml:space="preserve">1.8 [0.2, 21]</w:t>
                  </w:r>
                </w:p>
              </w:tc>
              <w:tc>
                <w:tcPr/>
                <w:p>
                  <w:pPr>
                    <w:pStyle w:val="Compact"/>
                    <w:jc w:val="right"/>
                    <w:jc w:val="center"/>
                  </w:pPr>
                  <w:r>
                    <w:t xml:space="preserve">0.698</w:t>
                  </w:r>
                </w:p>
              </w:tc>
            </w:tr>
            <w:tr>
              <w:tc>
                <w:tcPr/>
                <w:p>
                  <w:pPr>
                    <w:pStyle w:val="Compact"/>
                    <w:jc w:val="left"/>
                    <w:jc w:val="center"/>
                  </w:pPr>
                  <w:r>
                    <w:t xml:space="preserve">Neoplasia vs unselected skin, any-HPV / trace (M2)</w:t>
                  </w:r>
                </w:p>
              </w:tc>
              <w:tc>
                <w:tcPr/>
                <w:p>
                  <w:pPr>
                    <w:pStyle w:val="Compact"/>
                    <w:jc w:val="left"/>
                    <w:jc w:val="center"/>
                  </w:pPr>
                  <w:r>
                    <w:t xml:space="preserve">1.7 (7.9×10⁻⁷)</w:t>
                  </w:r>
                </w:p>
              </w:tc>
              <w:tc>
                <w:tcPr/>
                <w:p>
                  <w:pPr>
                    <w:pStyle w:val="Compact"/>
                    <w:jc w:val="left"/>
                    <w:jc w:val="center"/>
                  </w:pPr>
                  <w:r>
                    <w:t xml:space="preserve">1.7 [1.4, 2.1]</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1</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2,527 [873, 10,576], confirming robustness). Sequencing depth is modelled per 10-fold (log₁₀) change in library size.</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Other</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with cervical/CIN or unspecified-site diagnoses, and all exceed the control-calibrated detection floor (13.1 RPM), so they account for a disproportionate share of the neoplasia tier’s above-floor detections. Excluding them lowers cutaneous-neoplasia floor-level detection from 1.4% to 0.7% (indistinguishable from unselected skin: OR 1.0,</w:t>
            </w:r>
            <w:r>
              <w:t xml:space="preserve"> </w:t>
            </w:r>
            <w:r>
              <w:rPr>
                <w:i/>
                <w:iCs/>
              </w:rPr>
              <w:t xml:space="preserve">P</w:t>
            </w:r>
            <w:r>
              <w:t xml:space="preserve"> </w:t>
            </w:r>
            <w:r>
              <w:t xml:space="preserve">= 0.98) and strengthens the warts/EV-versus-neoplasia productivity contrast from OR 3.8 to OR 5.2 (</w:t>
            </w:r>
            <w:r>
              <w:rPr>
                <w:i/>
                <w:iCs/>
              </w:rPr>
              <w:t xml:space="preserve">P</w:t>
            </w:r>
            <w:r>
              <w:t xml:space="preserve"> </w:t>
            </w:r>
            <w:r>
              <w:t xml:space="preserve">= 0.0038). Retaining them is therefore the conservative analytical choice.</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supptbl-trace"/>
          <w:tbl>
            <w:tblPr>
              <w:tblStyle w:val="Table"/>
              <w:tblW w:type="pct" w:w="5000"/>
              <w:tblLayout w:type="fixed"/>
              <w:tblLook w:firstRow="1" w:lastRow="0" w:firstColumn="0" w:lastColumn="0" w:noHBand="0" w:noVBand="0" w:val="0020"/>
            </w:tblPr>
            <w:tblGrid>
              <w:gridCol w:w="792"/>
              <w:gridCol w:w="365"/>
              <w:gridCol w:w="1584"/>
              <w:gridCol w:w="1096"/>
              <w:gridCol w:w="1644"/>
              <w:gridCol w:w="974"/>
              <w:gridCol w:w="1096"/>
              <w:gridCol w:w="365"/>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(N=7,358)</w:t>
                  </w:r>
                </w:p>
              </w:tc>
              <w:tc>
                <w:tcPr/>
                <w:p>
                  <w:pPr>
                    <w:pStyle w:val="Compact"/>
                    <w:jc w:val="right"/>
                    <w:jc w:val="center"/>
                  </w:pPr>
                  <w:r>
                    <w:t xml:space="preserve">Neoplasia (N=442)</w:t>
                  </w:r>
                </w:p>
              </w:tc>
              <w:tc>
                <w:tcPr/>
                <w:p>
                  <w:pPr>
                    <w:pStyle w:val="Compact"/>
                    <w:jc w:val="right"/>
                    <w:jc w:val="center"/>
                  </w:pPr>
                  <w:r>
                    <w:t xml:space="preserve">Productive controls (N=43)</w:t>
                  </w:r>
                </w:p>
              </w:tc>
              <w:tc>
                <w:tcPr/>
                <w:p>
                  <w:pPr>
                    <w:pStyle w:val="Compact"/>
                    <w:jc w:val="right"/>
                    <w:jc w:val="center"/>
                  </w:pPr>
                  <w:r>
                    <w:t xml:space="preserve">Other (N=2,747)</w:t>
                  </w:r>
                </w:p>
              </w:tc>
              <w:tc>
                <w:tcPr/>
                <w:p>
                  <w:pPr>
                    <w:pStyle w:val="Compact"/>
                    <w:jc w:val="right"/>
                    <w:jc w:val="center"/>
                  </w:pPr>
                  <w:r>
                    <w:t xml:space="preserve">Cell line (N=692)</w:t>
                  </w:r>
                </w:p>
              </w:tc>
              <w:tc>
                <w:tcPr/>
                <w:p>
                  <w:pPr>
                    <w:pStyle w:val="Compact"/>
                    <w:jc w:val="righ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1 (0.02%)</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4 (0.16%)</w:t>
                  </w:r>
                </w:p>
              </w:tc>
              <w:tc>
                <w:tcPr/>
                <w:p>
                  <w:pPr>
                    <w:pStyle w:val="Compact"/>
                    <w:jc w:val="right"/>
                    <w:jc w:val="center"/>
                  </w:pPr>
                  <w:r>
                    <w:t xml:space="preserve">18 (2.7%)</w:t>
                  </w:r>
                </w:p>
              </w:tc>
              <w:tc>
                <w:tcPr/>
                <w:p>
                  <w:pPr>
                    <w:pStyle w:val="Compact"/>
                    <w:jc w:val="right"/>
                    <w:jc w:val="center"/>
                  </w:pPr>
                  <w:r>
                    <w:t xml:space="preserve">27</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11 (0.16%)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9 (1.4%)</w:t>
                  </w:r>
                </w:p>
              </w:tc>
              <w:tc>
                <w:tcPr/>
                <w:p>
                  <w:pPr>
                    <w:pStyle w:val="Compact"/>
                    <w:jc w:val="right"/>
                    <w:jc w:val="center"/>
                  </w:pPr>
                  <w:r>
                    <w:t xml:space="preserve">21</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(0.60%)</w:t>
                  </w:r>
                </w:p>
              </w:tc>
              <w:tc>
                <w:tcPr/>
                <w:p>
                  <w:pPr>
                    <w:pStyle w:val="Compact"/>
                    <w:jc w:val="right"/>
                    <w:jc w:val="center"/>
                  </w:pPr>
                  <w:r>
                    <w:t xml:space="preserve">0</w:t>
                  </w:r>
                </w:p>
              </w:tc>
              <w:tc>
                <w:tcPr/>
                <w:p>
                  <w:pPr>
                    <w:pStyle w:val="Compact"/>
                    <w:jc w:val="right"/>
                    <w:jc w:val="center"/>
                  </w:pPr>
                  <w:r>
                    <w:t xml:space="preserve">16</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(3.4%)</w:t>
                  </w:r>
                </w:p>
              </w:tc>
              <w:tc>
                <w:tcPr/>
                <w:p>
                  <w:pPr>
                    <w:pStyle w:val="Compact"/>
                    <w:jc w:val="right"/>
                    <w:jc w:val="center"/>
                  </w:pPr>
                  <w:r>
                    <w:t xml:space="preserve">2 (0.09%)</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(0.22%)</w:t>
                  </w:r>
                </w:p>
              </w:tc>
              <w:tc>
                <w:tcPr/>
                <w:p>
                  <w:pPr>
                    <w:pStyle w:val="Compact"/>
                    <w:jc w:val="righ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(0.22%)</w:t>
                  </w:r>
                </w:p>
              </w:tc>
              <w:tc>
                <w:tcPr/>
                <w:p>
                  <w:pPr>
                    <w:pStyle w:val="Compact"/>
                    <w:jc w:val="righ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S5: Detection-tier HPV type catalogue. For the 325 HPV-positive libraries that fell below the breadth ≥ 0.10 and depth ≥ 2 assignment threshold, the best-hit reference was taken from unique STAR primary alignments (MAPQ 255) in the retained alignments;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within-tier prevalence in parentheses (Beta-Binomial posterior mean, Beta(0.5, 0.5) prior; tier sizes in the headers), so trace detections remain comparable across tiers of very different size. Healthy skin is dominated by cutaneous beta/gamma/nu types (39 of 56 resolved skin calls), whereas the mucosal types HPV16 and HPV18 concentrate in cell-line and other material (HPV16 trace prevalence 2.7% [1.6–4.0] in cell lines versus 0.02% [0.00–0.06] in skin), reproducing the contamination pattern of</w:t>
            </w:r>
            <w:r>
              <w:t xml:space="preserve"> </w:t>
            </w:r>
            <w:hyperlink w:anchor="supptbl-types">
              <w:r>
                <w:rPr>
                  <w:rStyle w:val="Hyperlink"/>
                </w:rPr>
                <w:t xml:space="preserve">Table S1</w:t>
              </w:r>
            </w:hyperlink>
            <w:r>
              <w:t xml:space="preserve"> </w:t>
            </w:r>
            <w:r>
              <w:t xml:space="preserve">at the sensitivity floor.</w:t>
            </w:r>
          </w:p>
          <w:bookmarkEnd w:id="129"/>
        </w:tc>
      </w:tr>
    </w:tbl>
    <w:bookmarkEnd w:id="130"/>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21" Target="media/rId121.png" /><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7"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0"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6" Target="https://doi.org/10.1186/s13059-019-1891-0" TargetMode="External" /><Relationship Type="http://schemas.openxmlformats.org/officeDocument/2006/relationships/hyperlink" Id="rId105" Target="https://doi.org/10.1371/journal.pone.0163962" TargetMode="External" /><Relationship Type="http://schemas.openxmlformats.org/officeDocument/2006/relationships/hyperlink" Id="rId112"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7"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0"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6" Target="https://doi.org/10.1186/s13059-019-1891-0" TargetMode="External" /><Relationship Type="http://schemas.openxmlformats.org/officeDocument/2006/relationships/hyperlink" Id="rId105" Target="https://doi.org/10.1371/journal.pone.0163962" TargetMode="External" /><Relationship Type="http://schemas.openxmlformats.org/officeDocument/2006/relationships/hyperlink" Id="rId112"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2026-07-06T08:08:52Z</dcterms:created>
  <dcterms:modified xsi:type="dcterms:W3CDTF">2026-07-06T08:08:52Z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