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8.png" ContentType="image/png"/>
  <Override PartName="/word/media/rId44.png" ContentType="image/png"/>
  <Override PartName="/word/media/rId48.png" ContentType="image/png"/>
  <Override PartName="/word/media/rId54.png" ContentType="image/png"/>
  <Override PartName="/word/media/rId2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harboured genuine productive gamma-/alpha-HPV infection (HPV12, HPV96, HPV182, HPV16). Cutaneous HPV is productive in warts but quiet in healthy skin and carcinoma: a trace, non-productive footprint that any account of beta-HPV in skin must accommodate. Beyond HPV, this contamination-aware framework, normalised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catalogue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colonisation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immortalisation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catalogued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localised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7"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3"/>
    <w:bookmarkStart w:id="36"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4">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5">
        <w:r>
          <w:rPr>
            <w:rStyle w:val="Hyperlink"/>
          </w:rPr>
          <w:t xml:space="preserve">https://pave.niaid.nih.gov</w:t>
        </w:r>
      </w:hyperlink>
      <w:r>
        <w:t xml:space="preserve">) and NCBI RefSeq.</w:t>
      </w:r>
    </w:p>
    <w:bookmarkEnd w:id="36"/>
    <w:bookmarkEnd w:id="37"/>
    <w:bookmarkStart w:id="60"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3"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p>
      <w:pPr>
        <w:pStyle w:val="BodyText"/>
      </w:pPr>
      <w:r>
        <w:t xml:space="preserve">The transcripts themselves carry an independent signature of that artefact, in two forms. E1 and E2 are encoded on the same early polycistronic message, so their read counts should track one another; integration characteristically disrupts the E2 open reading frame while sparing E1, inverting the ratio. Cell-line libraries show a median E1:E2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E1:E2 rises monotonically with grade,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a shift of roughly eightfold in the direction integration predicts (</w:t>
      </w:r>
      <w:hyperlink w:anchor="fig-integration">
        <w:r>
          <w:rPr>
            <w:rStyle w:val="Hyperlink"/>
          </w:rPr>
          <w:t xml:space="preserve">Figure 1</w:t>
        </w:r>
      </w:hyperlink>
      <w:r>
        <w:t xml:space="preserve"> </w:t>
      </w:r>
      <w:r>
        <w:t xml:space="preserve">C).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41" w:name="fig-integration"/>
          <w:p>
            <w:pPr>
              <w:pStyle w:val="Compact"/>
              <w:jc w:val="center"/>
            </w:pPr>
            <w:r>
              <w:drawing>
                <wp:inline>
                  <wp:extent cx="5943600" cy="4754880"/>
                  <wp:effectExtent b="0" l="0" r="0" t="0"/>
                  <wp:docPr descr="" title="" id="39" name="Picture"/>
                  <a:graphic>
                    <a:graphicData uri="http://schemas.openxmlformats.org/drawingml/2006/picture">
                      <pic:pic>
                        <pic:nvPicPr>
                          <pic:cNvPr descr="figure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grey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42"/>
          <w:p/>
        </w:tc>
      </w:tr>
    </w:tbl>
    <w:bookmarkEnd w:id="43"/>
    <w:bookmarkStart w:id="52"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residual footprint, was resolved by the depth-normalised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7" w:name="fig-rpm"/>
          <w:p>
            <w:pPr>
              <w:pStyle w:val="Compact"/>
              <w:jc w:val="center"/>
            </w:pPr>
            <w:r>
              <w:drawing>
                <wp:inline>
                  <wp:extent cx="5943600" cy="3632200"/>
                  <wp:effectExtent b="0" l="0" r="0" t="0"/>
                  <wp:docPr descr="" title="" id="45" name="Picture"/>
                  <a:graphic>
                    <a:graphicData uri="http://schemas.openxmlformats.org/drawingml/2006/picture">
                      <pic:pic>
                        <pic:nvPicPr>
                          <pic:cNvPr descr="figure2.png" id="46" name="Picture"/>
                          <pic:cNvPicPr>
                            <a:picLocks noChangeArrowheads="1" noChangeAspect="1"/>
                          </pic:cNvPicPr>
                        </pic:nvPicPr>
                        <pic:blipFill>
                          <a:blip r:embed="rId44"/>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7"/>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favourable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while the productive controls, the tier in which productive infection is abundant, contain no rRNA-depleted libraries at all. The tier in which no productive infection is found was thus built, three times more often than its comparator, with the chemistry most favourable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artefact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favourable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Pooling actinic keratosis with carcinoma is a choice the data support rather than an assumption. Split on diagnosis, the tier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tier is not averaging two different phenomena.</w:t>
      </w:r>
    </w:p>
    <w:p>
      <w:pPr>
        <w:pStyle w:val="BodyText"/>
      </w:pPr>
      <w:r>
        <w:t xml:space="preserve">The transcript programme itself makes the distinction visible (</w:t>
      </w:r>
      <w:hyperlink w:anchor="fig-orf">
        <w:r>
          <w:rPr>
            <w:rStyle w:val="Hyperlink"/>
          </w:rPr>
          <w:t xml:space="preserve">Figure 3</w:t>
        </w:r>
      </w:hyperlink>
      <w:r>
        <w:t xml:space="preserve">). Read gene by gene, the productive tiers run the complete viral programme, capsid genes included: 90% of productive-control libraries and 95.5% of EV biopsies carry L1 reads. Skin and neoplasia are not a truncated version of that programme but a uniformly faint one, low across the whole genome alike (unselected skin 10.3% for E6 and 18.6% for L1), which is the signature of a trace rather than of a life cycle arrested before its late phase. Cell lines are the third shape and the one that matters for provenance: E6 and E7 in 90.4% and 93.4% of libraries against E2 in 33.8% and L2 in 10.6%, the integrated pattern of</w:t>
      </w:r>
      <w:r>
        <w:t xml:space="preserve"> </w:t>
      </w:r>
      <w:hyperlink w:anchor="fig-integration">
        <w:r>
          <w:rPr>
            <w:rStyle w:val="Hyperlink"/>
          </w:rPr>
          <w:t xml:space="preserve">Figure 1</w:t>
        </w:r>
      </w:hyperlink>
      <w:r>
        <w:t xml:space="preserve"> </w:t>
      </w:r>
      <w:r>
        <w:t xml:space="preserve">generalised from one ratio to the whole genome. Where there are enough reads to apportion, the same contrast appears as composition: productive controls place 34.9% of their viral reads on the late genes against 6.4% on E6 and E7, and cell lines invert this exactly, 2.2% late against 66.6% oncogenic.</w:t>
      </w:r>
    </w:p>
    <w:tbl>
      <w:tblPr>
        <w:tblStyle w:val="Table"/>
        <w:tblW w:type="pct" w:w="5000"/>
        <w:tblLayout w:type="fixed"/>
        <w:tblLook w:firstRow="0" w:lastRow="0" w:firstColumn="0" w:lastColumn="0" w:noHBand="0" w:noVBand="0" w:val="0000"/>
      </w:tblPr>
      <w:tblGrid>
        <w:gridCol w:w="7920"/>
      </w:tblGrid>
      <w:tr>
        <w:tc>
          <w:tcPr/>
          <w:bookmarkStart w:id="51" w:name="fig-orf"/>
          <w:p>
            <w:pPr>
              <w:pStyle w:val="Compact"/>
              <w:jc w:val="center"/>
            </w:pPr>
            <w:r>
              <w:drawing>
                <wp:inline>
                  <wp:extent cx="5943600" cy="7594599"/>
                  <wp:effectExtent b="0" l="0" r="0" t="0"/>
                  <wp:docPr descr="" title="" id="49" name="Picture"/>
                  <a:graphic>
                    <a:graphicData uri="http://schemas.openxmlformats.org/drawingml/2006/picture">
                      <pic:pic>
                        <pic:nvPicPr>
                          <pic:cNvPr descr="figure3.png" id="50" name="Picture"/>
                          <pic:cNvPicPr>
                            <a:picLocks noChangeArrowheads="1" noChangeAspect="1"/>
                          </pic:cNvPicPr>
                        </pic:nvPicPr>
                        <pic:blipFill>
                          <a:blip r:embed="rId48"/>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Every panel is conditional on HPV positivity and successful transcript classification, so this figure describes the programme of detected infections and is not a prevalence statement; the 428 libraries with a classification are distributed unevenly across tiers, and each tier’s</w:t>
            </w:r>
            <w:r>
              <w:t xml:space="preserve"> </w:t>
            </w:r>
            <w:r>
              <w:rPr>
                <w:i/>
                <w:iCs/>
              </w:rPr>
              <w:t xml:space="preserve">n</w:t>
            </w:r>
            <w:r>
              <w:t xml:space="preserve"> </w:t>
            </w:r>
            <w:r>
              <w:t xml:space="preserve">is printed on the panel. E5 is omitted, being absent from most beta- and gamma-types and zero in every tier here. (</w:t>
            </w:r>
            <w:r>
              <w:rPr>
                <w:b/>
                <w:bCs/>
              </w:rPr>
              <w:t xml:space="preserve">A</w:t>
            </w:r>
            <w:r>
              <w:t xml:space="preserve">) Programme breadth: the percentage of a tier’s libraries carrying at least one read on each open reading frame, as a Beta-Binomial posterior mean under a weakly-informative Beta(0.5, 0.5) prior, as elsewhere in this work. Three shapes separate. Productive controls, EV and peri-lesional mucosa transcribe the entire genome including the capsid genes; unselected skin and neoplasia are uniformly low across all six frames; cell-line and engineered libraries carry the integrated signature directly, with the oncogenes retained and E2 and the late genes lost. (</w:t>
            </w:r>
            <w:r>
              <w:rPr>
                <w:b/>
                <w:bCs/>
              </w:rPr>
              <w:t xml:space="preserve">B</w:t>
            </w:r>
            <w:r>
              <w:t xml:space="preserve">) Programme composition: the mean share of a library’s viral reads falling on each frame, stacked in genome order. Restricted to libraries with at least 20 viral reads, because composition is not estimable below that and a single read would otherwise determine a library’s entire profile; the surviving</w:t>
            </w:r>
            <w:r>
              <w:t xml:space="preserve"> </w:t>
            </w:r>
            <w:r>
              <w:rPr>
                <w:i/>
                <w:iCs/>
              </w:rPr>
              <w:t xml:space="preserve">n</w:t>
            </w:r>
            <w:r>
              <w:t xml:space="preserve"> </w:t>
            </w:r>
            <w:r>
              <w:t xml:space="preserve">is printed per bar, and for unselected skin it is 36 of 7,800, so this panel describes the shape of detectable infections in that tier and not the tier. (</w:t>
            </w:r>
            <w:r>
              <w:rPr>
                <w:b/>
                <w:bCs/>
              </w:rPr>
              <w:t xml:space="preserve">C</w:t>
            </w:r>
            <w:r>
              <w:t xml:space="preserve">) The productive criterion itself: early-region reads against L1 major-capsid reads for each library, with the L1 ≥ 3 threshold drawn. The vertical axis is L1 rather than the whole late region so that the line is exactly the rule applied throughout, and the productive controls and EV biopsies separate from skin and neoplasia along it.</w:t>
            </w:r>
          </w:p>
          <w:bookmarkEnd w:id="51"/>
        </w:tc>
      </w:tr>
    </w:tbl>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52"/>
    <w:bookmarkStart w:id="53"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 skin library productively infected with the gamma-type HPV12 (99.8% genome coverage; L1 = 1,803, L2 = 3,546 reads), two HPV16-productive cSCC libraries, and two libraries from cutaneous actinic-keratosis/cSCC cohorts whose SRA records carry no tissue field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53"/>
    <w:bookmarkStart w:id="58"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fig-genus">
        <w:r>
          <w:rPr>
            <w:rStyle w:val="Hyperlink"/>
          </w:rPr>
          <w:t xml:space="preserve">Figure 4</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7" w:name="fig-genus"/>
          <w:p>
            <w:pPr>
              <w:pStyle w:val="Compact"/>
              <w:jc w:val="center"/>
            </w:pPr>
            <w:r>
              <w:drawing>
                <wp:inline>
                  <wp:extent cx="5943600" cy="3622765"/>
                  <wp:effectExtent b="0" l="0" r="0" t="0"/>
                  <wp:docPr descr="" title="" id="55" name="Picture"/>
                  <a:graphic>
                    <a:graphicData uri="http://schemas.openxmlformats.org/drawingml/2006/picture">
                      <pic:pic>
                        <pic:nvPicPr>
                          <pic:cNvPr descr="figure4.png" id="56" name="Picture"/>
                          <pic:cNvPicPr>
                            <a:picLocks noChangeArrowheads="1" noChangeAspect="1"/>
                          </pic:cNvPicPr>
                        </pic:nvPicPr>
                        <pic:blipFill>
                          <a:blip r:embed="rId54"/>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7"/>
        </w:tc>
      </w:tr>
    </w:tbl>
    <w:bookmarkEnd w:id="58"/>
    <w:bookmarkStart w:id="59"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regularised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9"/>
    <w:bookmarkEnd w:id="60"/>
    <w:bookmarkStart w:id="70"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61"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artefact of shallow sequencing. Nor is the literature unanimous: in situ hybridization on PCR-positive transplant-recipient cSCC demonstrated EV-HPV transcripts in 4 of 11 tumours, localised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colonisation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localised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immortalisation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randomised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neutralising the resident virus. Our result is consistent with that reading rather than in tension with it, since an immunological intervention can reduce lesion burden without productive viral replication being present to target.</w:t>
      </w:r>
    </w:p>
    <w:bookmarkEnd w:id="61"/>
    <w:bookmarkStart w:id="62"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62"/>
    <w:bookmarkStart w:id="63"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catalogued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63"/>
    <w:bookmarkStart w:id="64" w:name="X91a902f70c1d8887abf473463cc49053a4d6d2d"/>
    <w:p>
      <w:pPr>
        <w:pStyle w:val="Heading3"/>
      </w:pPr>
      <w:r>
        <w:t xml:space="preserve">Actinic keratosis, HPV8, and what a bulk transcriptome cannot see</w:t>
      </w:r>
    </w:p>
    <w:p>
      <w:pPr>
        <w:pStyle w:val="FirstParagraph"/>
      </w:pPr>
      <w:r>
        <w:t xml:space="preserve">The precursor end of the neoplasia tier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4"/>
    <w:bookmarkStart w:id="65"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centre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centre,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operationalisation and measurement on one cohort: explicit cell-line, engineered and in-vitro annotation, study-level curation, dual breadth-and-depth typing thresholds, a control-calibrated productivity floor, and burden normalised for both depth and library chemistry, with the size of the artefact each is guarding against reported rather than asserted. That combination generalises beyond HPV.</w:t>
      </w:r>
    </w:p>
    <w:bookmarkEnd w:id="65"/>
    <w:bookmarkStart w:id="66"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favour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favour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6"/>
    <w:bookmarkStart w:id="67" w:name="X561ddc580c774f0bedec4ad5adea000a1f8b051"/>
    <w:p>
      <w:pPr>
        <w:pStyle w:val="Heading3"/>
      </w:pPr>
      <w:r>
        <w:t xml:space="preserve">What a petabase catalogue does and does not measure</w:t>
      </w:r>
    </w:p>
    <w:p>
      <w:pPr>
        <w:pStyle w:val="FirstParagraph"/>
      </w:pPr>
      <w:r>
        <w:t xml:space="preserve">The DNA axis used here is a catalogue, and catalogues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catalogue because it carries a detectable L1. Three consequences follow, and together they bound what any comparison against such a resource can claim. First, presence in the catalogue means L1-detectable presence, and carries no information about the state of the viral genome. Second, the catalogue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catalogue membership, which is what the E1:E2 ratio and the virus-host junctions do above. The point generalises beyond papillomaviruses: petabase-scale surveys are now the standard way to establish that a virus is present in a body site, and a presence count from such a survey is not evidence of an active infection.</w:t>
      </w:r>
    </w:p>
    <w:bookmarkEnd w:id="67"/>
    <w:bookmarkStart w:id="68"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catalogued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favourable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localises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catalogue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8"/>
    <w:bookmarkStart w:id="69"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normalisation for both depth and library chemistry, provides a scalable foundation for identifying the cohorts worth taking to that resolution.</w:t>
      </w:r>
    </w:p>
    <w:bookmarkEnd w:id="69"/>
    <w:bookmarkEnd w:id="70"/>
    <w:bookmarkStart w:id="203" w:name="references"/>
    <w:p>
      <w:pPr>
        <w:pStyle w:val="Heading2"/>
      </w:pPr>
      <w:r>
        <w:t xml:space="preserve">References</w:t>
      </w:r>
    </w:p>
    <w:bookmarkStart w:id="202" w:name="refs"/>
    <w:bookmarkStart w:id="72"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71">
        <w:r>
          <w:rPr>
            <w:rStyle w:val="Hyperlink"/>
          </w:rPr>
          <w:t xml:space="preserve">https://doi.org/10.1038/nature12064</w:t>
        </w:r>
      </w:hyperlink>
      <w:r>
        <w:t xml:space="preserve">.</w:t>
      </w:r>
    </w:p>
    <w:bookmarkEnd w:id="72"/>
    <w:bookmarkStart w:id="74"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73">
        <w:r>
          <w:rPr>
            <w:rStyle w:val="Hyperlink"/>
          </w:rPr>
          <w:t xml:space="preserve">https://doi.org/10.1128/JVI.74.24.11636-11641.2000</w:t>
        </w:r>
      </w:hyperlink>
      <w:r>
        <w:t xml:space="preserve">.</w:t>
      </w:r>
    </w:p>
    <w:bookmarkEnd w:id="74"/>
    <w:bookmarkStart w:id="76"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5">
        <w:r>
          <w:rPr>
            <w:rStyle w:val="Hyperlink"/>
          </w:rPr>
          <w:t xml:space="preserve">https://doi.org/10.1038/jid.2011.91</w:t>
        </w:r>
      </w:hyperlink>
      <w:r>
        <w:t xml:space="preserve">.</w:t>
      </w:r>
    </w:p>
    <w:bookmarkEnd w:id="76"/>
    <w:bookmarkStart w:id="78"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77">
        <w:r>
          <w:rPr>
            <w:rStyle w:val="Hyperlink"/>
          </w:rPr>
          <w:t xml:space="preserve">https://doi.org/10.1002/ijc.33683</w:t>
        </w:r>
      </w:hyperlink>
      <w:r>
        <w:t xml:space="preserve">.</w:t>
      </w:r>
    </w:p>
    <w:bookmarkEnd w:id="78"/>
    <w:bookmarkStart w:id="80"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79">
        <w:r>
          <w:rPr>
            <w:rStyle w:val="Hyperlink"/>
          </w:rPr>
          <w:t xml:space="preserve">https://doi.org/10.1016/j.cmi.2019.04.028</w:t>
        </w:r>
      </w:hyperlink>
      <w:r>
        <w:t xml:space="preserve">.</w:t>
      </w:r>
    </w:p>
    <w:bookmarkEnd w:id="80"/>
    <w:bookmarkStart w:id="82"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81">
        <w:r>
          <w:rPr>
            <w:rStyle w:val="Hyperlink"/>
          </w:rPr>
          <w:t xml:space="preserve">https://doi.org/10.1152/physiolgenomics.00093.2024</w:t>
        </w:r>
      </w:hyperlink>
      <w:r>
        <w:t xml:space="preserve">.</w:t>
      </w:r>
    </w:p>
    <w:bookmarkEnd w:id="82"/>
    <w:bookmarkStart w:id="83"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83"/>
    <w:bookmarkStart w:id="85"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84">
        <w:r>
          <w:rPr>
            <w:rStyle w:val="Hyperlink"/>
          </w:rPr>
          <w:t xml:space="preserve">https://doi.org/10.3389/fmicb.2018.00117</w:t>
        </w:r>
      </w:hyperlink>
      <w:r>
        <w:t xml:space="preserve">.</w:t>
      </w:r>
    </w:p>
    <w:bookmarkEnd w:id="85"/>
    <w:bookmarkStart w:id="87"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86">
        <w:r>
          <w:rPr>
            <w:rStyle w:val="Hyperlink"/>
          </w:rPr>
          <w:t xml:space="preserve">https://doi.org/10.1158/1055-9965.EPI-09-0025</w:t>
        </w:r>
      </w:hyperlink>
      <w:r>
        <w:t xml:space="preserve">.</w:t>
      </w:r>
    </w:p>
    <w:bookmarkEnd w:id="87"/>
    <w:bookmarkStart w:id="89"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88">
        <w:r>
          <w:rPr>
            <w:rStyle w:val="Hyperlink"/>
          </w:rPr>
          <w:t xml:space="preserve">https://doi.org/10.1038/srep05807</w:t>
        </w:r>
      </w:hyperlink>
      <w:r>
        <w:t xml:space="preserve">.</w:t>
      </w:r>
    </w:p>
    <w:bookmarkEnd w:id="89"/>
    <w:bookmarkStart w:id="90"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90"/>
    <w:bookmarkStart w:id="92"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91">
        <w:r>
          <w:rPr>
            <w:rStyle w:val="Hyperlink"/>
          </w:rPr>
          <w:t xml:space="preserve">https://doi.org/10.1128/JVI.03365-14</w:t>
        </w:r>
      </w:hyperlink>
      <w:r>
        <w:t xml:space="preserve">.</w:t>
      </w:r>
    </w:p>
    <w:bookmarkEnd w:id="92"/>
    <w:bookmarkStart w:id="94"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93">
        <w:r>
          <w:rPr>
            <w:rStyle w:val="Hyperlink"/>
          </w:rPr>
          <w:t xml:space="preserve">https://doi.org/10.1016/j.coviro.2019.07.010</w:t>
        </w:r>
      </w:hyperlink>
      <w:r>
        <w:t xml:space="preserve">.</w:t>
      </w:r>
    </w:p>
    <w:bookmarkEnd w:id="94"/>
    <w:bookmarkStart w:id="96"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5">
        <w:r>
          <w:rPr>
            <w:rStyle w:val="Hyperlink"/>
          </w:rPr>
          <w:t xml:space="preserve">https://doi.org/10.1093/bioinformatics/bty560</w:t>
        </w:r>
      </w:hyperlink>
      <w:r>
        <w:t xml:space="preserve">.</w:t>
      </w:r>
    </w:p>
    <w:bookmarkEnd w:id="96"/>
    <w:bookmarkStart w:id="98"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97">
        <w:r>
          <w:rPr>
            <w:rStyle w:val="Hyperlink"/>
          </w:rPr>
          <w:t xml:space="preserve">https://doi.org/10.1128/JCM.01785-07</w:t>
        </w:r>
      </w:hyperlink>
      <w:r>
        <w:t xml:space="preserve">.</w:t>
      </w:r>
    </w:p>
    <w:bookmarkEnd w:id="98"/>
    <w:bookmarkStart w:id="100"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99">
        <w:r>
          <w:rPr>
            <w:rStyle w:val="Hyperlink"/>
          </w:rPr>
          <w:t xml:space="preserve">https://doi.org/10.1101/2024.07.30.605881</w:t>
        </w:r>
      </w:hyperlink>
      <w:r>
        <w:t xml:space="preserve">.</w:t>
      </w:r>
    </w:p>
    <w:bookmarkEnd w:id="100"/>
    <w:bookmarkStart w:id="102"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101">
        <w:r>
          <w:rPr>
            <w:rStyle w:val="Hyperlink"/>
          </w:rPr>
          <w:t xml:space="preserve">https://doi.org/10.3802/jgo.2018.29.e38</w:t>
        </w:r>
      </w:hyperlink>
      <w:r>
        <w:t xml:space="preserve">.</w:t>
      </w:r>
    </w:p>
    <w:bookmarkEnd w:id="102"/>
    <w:bookmarkStart w:id="104"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103">
        <w:r>
          <w:rPr>
            <w:rStyle w:val="Hyperlink"/>
          </w:rPr>
          <w:t xml:space="preserve">https://doi.org/10.1158/0008-5472.CAN-08-3099</w:t>
        </w:r>
      </w:hyperlink>
      <w:r>
        <w:t xml:space="preserve">.</w:t>
      </w:r>
    </w:p>
    <w:bookmarkEnd w:id="104"/>
    <w:bookmarkStart w:id="106"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05">
        <w:r>
          <w:rPr>
            <w:rStyle w:val="Hyperlink"/>
          </w:rPr>
          <w:t xml:space="preserve">https://doi.org/10.1093/gigascience/giab008</w:t>
        </w:r>
      </w:hyperlink>
      <w:r>
        <w:t xml:space="preserve">.</w:t>
      </w:r>
    </w:p>
    <w:bookmarkEnd w:id="106"/>
    <w:bookmarkStart w:id="108"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07">
        <w:r>
          <w:rPr>
            <w:rStyle w:val="Hyperlink"/>
          </w:rPr>
          <w:t xml:space="preserve">https://doi.org/10.1016/j.virol.2019.08.007</w:t>
        </w:r>
      </w:hyperlink>
      <w:r>
        <w:t xml:space="preserve">.</w:t>
      </w:r>
    </w:p>
    <w:bookmarkEnd w:id="108"/>
    <w:bookmarkStart w:id="110"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09">
        <w:r>
          <w:rPr>
            <w:rStyle w:val="Hyperlink"/>
          </w:rPr>
          <w:t xml:space="preserve">https://doi.org/10.1038/nbt.3820</w:t>
        </w:r>
      </w:hyperlink>
      <w:r>
        <w:t xml:space="preserve">.</w:t>
      </w:r>
    </w:p>
    <w:bookmarkEnd w:id="110"/>
    <w:bookmarkStart w:id="112"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11">
        <w:r>
          <w:rPr>
            <w:rStyle w:val="Hyperlink"/>
          </w:rPr>
          <w:t xml:space="preserve">https://doi.org/10.1093/bioinformatics/bts635</w:t>
        </w:r>
      </w:hyperlink>
      <w:r>
        <w:t xml:space="preserve">.</w:t>
      </w:r>
    </w:p>
    <w:bookmarkEnd w:id="112"/>
    <w:bookmarkStart w:id="113"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13"/>
    <w:bookmarkStart w:id="114"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14"/>
    <w:bookmarkStart w:id="115"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15"/>
    <w:bookmarkStart w:id="117"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16">
        <w:r>
          <w:rPr>
            <w:rStyle w:val="Hyperlink"/>
          </w:rPr>
          <w:t xml:space="preserve">https://doi.org/10.1038/s41586-021-04332-2</w:t>
        </w:r>
      </w:hyperlink>
      <w:r>
        <w:t xml:space="preserve">.</w:t>
      </w:r>
    </w:p>
    <w:bookmarkEnd w:id="117"/>
    <w:bookmarkStart w:id="118"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18"/>
    <w:bookmarkStart w:id="120"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19">
        <w:r>
          <w:rPr>
            <w:rStyle w:val="Hyperlink"/>
          </w:rPr>
          <w:t xml:space="preserve">https://doi.org/10.1016/j.xgen.2022.100211</w:t>
        </w:r>
      </w:hyperlink>
      <w:r>
        <w:t xml:space="preserve">.</w:t>
      </w:r>
    </w:p>
    <w:bookmarkEnd w:id="120"/>
    <w:bookmarkStart w:id="121"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21"/>
    <w:bookmarkStart w:id="123"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22">
        <w:r>
          <w:rPr>
            <w:rStyle w:val="Hyperlink"/>
          </w:rPr>
          <w:t xml:space="preserve">https://doi.org/10.1097/DAD.0000000000001289</w:t>
        </w:r>
      </w:hyperlink>
      <w:r>
        <w:t xml:space="preserve">.</w:t>
      </w:r>
    </w:p>
    <w:bookmarkEnd w:id="123"/>
    <w:bookmarkStart w:id="125"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24">
        <w:r>
          <w:rPr>
            <w:rStyle w:val="Hyperlink"/>
          </w:rPr>
          <w:t xml:space="preserve">https://doi.org/10.1128/mbio.01607-23</w:t>
        </w:r>
      </w:hyperlink>
      <w:r>
        <w:t xml:space="preserve">.</w:t>
      </w:r>
    </w:p>
    <w:bookmarkEnd w:id="125"/>
    <w:bookmarkStart w:id="127"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26">
        <w:r>
          <w:rPr>
            <w:rStyle w:val="Hyperlink"/>
          </w:rPr>
          <w:t xml:space="preserve">https://mc-stan.org/rstanarm/</w:t>
        </w:r>
      </w:hyperlink>
      <w:r>
        <w:t xml:space="preserve">.</w:t>
      </w:r>
    </w:p>
    <w:bookmarkEnd w:id="127"/>
    <w:bookmarkStart w:id="128"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28"/>
    <w:bookmarkStart w:id="129"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29"/>
    <w:bookmarkStart w:id="131"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30">
        <w:r>
          <w:rPr>
            <w:rStyle w:val="Hyperlink"/>
          </w:rPr>
          <w:t xml:space="preserve">https://doi.org/10.1371/journal.pone.0217942</w:t>
        </w:r>
      </w:hyperlink>
      <w:r>
        <w:t xml:space="preserve">.</w:t>
      </w:r>
    </w:p>
    <w:bookmarkEnd w:id="131"/>
    <w:bookmarkStart w:id="132"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32"/>
    <w:bookmarkStart w:id="134"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33">
        <w:r>
          <w:rPr>
            <w:rStyle w:val="Hyperlink"/>
          </w:rPr>
          <w:t xml:space="preserve">https://doi.org/10.1084/jem.20170308</w:t>
        </w:r>
      </w:hyperlink>
      <w:r>
        <w:t xml:space="preserve">.</w:t>
      </w:r>
    </w:p>
    <w:bookmarkEnd w:id="134"/>
    <w:bookmarkStart w:id="135"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35"/>
    <w:bookmarkStart w:id="137"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36">
        <w:r>
          <w:rPr>
            <w:rStyle w:val="Hyperlink"/>
          </w:rPr>
          <w:t xml:space="preserve">https://doi.org/10.1128/JVI.00822-15</w:t>
        </w:r>
      </w:hyperlink>
      <w:r>
        <w:t xml:space="preserve">.</w:t>
      </w:r>
    </w:p>
    <w:bookmarkEnd w:id="137"/>
    <w:bookmarkStart w:id="138"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38"/>
    <w:bookmarkStart w:id="140"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39">
        <w:r>
          <w:rPr>
            <w:rStyle w:val="Hyperlink"/>
          </w:rPr>
          <w:t xml:space="preserve">https://doi.org/10.1038/s41586-020-3023-0</w:t>
        </w:r>
      </w:hyperlink>
      <w:r>
        <w:t xml:space="preserve">.</w:t>
      </w:r>
    </w:p>
    <w:bookmarkEnd w:id="140"/>
    <w:bookmarkStart w:id="141"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41"/>
    <w:bookmarkStart w:id="143"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42">
        <w:r>
          <w:rPr>
            <w:rStyle w:val="Hyperlink"/>
          </w:rPr>
          <w:t xml:space="preserve">https://doi.org/10.1158/2159-8290.CD-22-0489</w:t>
        </w:r>
      </w:hyperlink>
      <w:r>
        <w:t xml:space="preserve">.</w:t>
      </w:r>
    </w:p>
    <w:bookmarkEnd w:id="143"/>
    <w:bookmarkStart w:id="145"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44">
        <w:r>
          <w:rPr>
            <w:rStyle w:val="Hyperlink"/>
          </w:rPr>
          <w:t xml:space="preserve">https://doi.org/10.1093/nar/gkq1019</w:t>
        </w:r>
      </w:hyperlink>
      <w:r>
        <w:t xml:space="preserve">.</w:t>
      </w:r>
    </w:p>
    <w:bookmarkEnd w:id="145"/>
    <w:bookmarkStart w:id="147"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46">
        <w:r>
          <w:rPr>
            <w:rStyle w:val="Hyperlink"/>
          </w:rPr>
          <w:t xml:space="preserve">https://doi.org/10.1158/1078-0432.CCR-25-0645</w:t>
        </w:r>
      </w:hyperlink>
      <w:r>
        <w:t xml:space="preserve">.</w:t>
      </w:r>
    </w:p>
    <w:bookmarkEnd w:id="147"/>
    <w:bookmarkStart w:id="149"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48">
        <w:r>
          <w:rPr>
            <w:rStyle w:val="Hyperlink"/>
          </w:rPr>
          <w:t xml:space="preserve">https://doi.org/10.1093/bioinformatics/btt656</w:t>
        </w:r>
      </w:hyperlink>
      <w:r>
        <w:t xml:space="preserve">.</w:t>
      </w:r>
    </w:p>
    <w:bookmarkEnd w:id="149"/>
    <w:bookmarkStart w:id="151"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50">
        <w:r>
          <w:rPr>
            <w:rStyle w:val="Hyperlink"/>
          </w:rPr>
          <w:t xml:space="preserve">https://doi.org/10.1128/JVI.00093-14</w:t>
        </w:r>
      </w:hyperlink>
      <w:r>
        <w:t xml:space="preserve">.</w:t>
      </w:r>
    </w:p>
    <w:bookmarkEnd w:id="151"/>
    <w:bookmarkStart w:id="152"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52"/>
    <w:bookmarkStart w:id="153"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53"/>
    <w:bookmarkStart w:id="155"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54">
        <w:r>
          <w:rPr>
            <w:rStyle w:val="Hyperlink"/>
          </w:rPr>
          <w:t xml:space="preserve">https://doi.org/10.1172/jci.insight.177898</w:t>
        </w:r>
      </w:hyperlink>
      <w:r>
        <w:t xml:space="preserve">.</w:t>
      </w:r>
    </w:p>
    <w:bookmarkEnd w:id="155"/>
    <w:bookmarkStart w:id="156"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56"/>
    <w:bookmarkStart w:id="158"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57">
        <w:r>
          <w:rPr>
            <w:rStyle w:val="Hyperlink"/>
          </w:rPr>
          <w:t xml:space="preserve">https://doi.org/10.1001/jamadermatol.2026.0308</w:t>
        </w:r>
      </w:hyperlink>
      <w:r>
        <w:t xml:space="preserve">.</w:t>
      </w:r>
    </w:p>
    <w:bookmarkEnd w:id="158"/>
    <w:bookmarkStart w:id="159"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59"/>
    <w:bookmarkStart w:id="161"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60">
        <w:r>
          <w:rPr>
            <w:rStyle w:val="Hyperlink"/>
          </w:rPr>
          <w:t xml:space="preserve">https://doi.org/10.1111/j.0022-202X.2005.23635.x</w:t>
        </w:r>
      </w:hyperlink>
      <w:r>
        <w:t xml:space="preserve">.</w:t>
      </w:r>
    </w:p>
    <w:bookmarkEnd w:id="161"/>
    <w:bookmarkStart w:id="163"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62">
        <w:r>
          <w:rPr>
            <w:rStyle w:val="Hyperlink"/>
          </w:rPr>
          <w:t xml:space="preserve">https://doi.org/10.1038/ng1044</w:t>
        </w:r>
      </w:hyperlink>
      <w:r>
        <w:t xml:space="preserve">.</w:t>
      </w:r>
    </w:p>
    <w:bookmarkEnd w:id="163"/>
    <w:bookmarkStart w:id="165"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64">
        <w:r>
          <w:rPr>
            <w:rStyle w:val="Hyperlink"/>
          </w:rPr>
          <w:t xml:space="preserve">https://doi.org/10.1073/pnas.2118930119</w:t>
        </w:r>
      </w:hyperlink>
      <w:r>
        <w:t xml:space="preserve">.</w:t>
      </w:r>
    </w:p>
    <w:bookmarkEnd w:id="165"/>
    <w:bookmarkStart w:id="167"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66">
        <w:r>
          <w:rPr>
            <w:rStyle w:val="Hyperlink"/>
          </w:rPr>
          <w:t xml:space="preserve">https://doi.org/10.1158/0008-5472.CAN-21-0805</w:t>
        </w:r>
      </w:hyperlink>
      <w:r>
        <w:t xml:space="preserve">.</w:t>
      </w:r>
    </w:p>
    <w:bookmarkEnd w:id="167"/>
    <w:bookmarkStart w:id="169"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68">
        <w:r>
          <w:rPr>
            <w:rStyle w:val="Hyperlink"/>
          </w:rPr>
          <w:t xml:space="preserve">https://doi.org/10.1093/infdis/jiy577</w:t>
        </w:r>
      </w:hyperlink>
      <w:r>
        <w:t xml:space="preserve">.</w:t>
      </w:r>
    </w:p>
    <w:bookmarkEnd w:id="169"/>
    <w:bookmarkStart w:id="171"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70">
        <w:r>
          <w:rPr>
            <w:rStyle w:val="Hyperlink"/>
          </w:rPr>
          <w:t xml:space="preserve">https://doi.org/10.1128/JVI.01003-18</w:t>
        </w:r>
      </w:hyperlink>
      <w:r>
        <w:t xml:space="preserve">.</w:t>
      </w:r>
    </w:p>
    <w:bookmarkEnd w:id="171"/>
    <w:bookmarkStart w:id="173"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72">
        <w:r>
          <w:rPr>
            <w:rStyle w:val="Hyperlink"/>
          </w:rPr>
          <w:t xml:space="preserve">https://doi.org/10.1172/jci.insight.162558</w:t>
        </w:r>
      </w:hyperlink>
      <w:r>
        <w:t xml:space="preserve">.</w:t>
      </w:r>
    </w:p>
    <w:bookmarkEnd w:id="173"/>
    <w:bookmarkStart w:id="175"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74">
        <w:r>
          <w:rPr>
            <w:rStyle w:val="Hyperlink"/>
          </w:rPr>
          <w:t xml:space="preserve">https://doi.org/10.1186/s12864-020-6483-6</w:t>
        </w:r>
      </w:hyperlink>
      <w:r>
        <w:t xml:space="preserve">.</w:t>
      </w:r>
    </w:p>
    <w:bookmarkEnd w:id="175"/>
    <w:bookmarkStart w:id="177"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76">
        <w:r>
          <w:rPr>
            <w:rStyle w:val="Hyperlink"/>
          </w:rPr>
          <w:t xml:space="preserve">https://doi.org/10.64898/2026.04.21.719858</w:t>
        </w:r>
      </w:hyperlink>
      <w:r>
        <w:t xml:space="preserve">.</w:t>
      </w:r>
    </w:p>
    <w:bookmarkEnd w:id="177"/>
    <w:bookmarkStart w:id="179"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78">
        <w:r>
          <w:rPr>
            <w:rStyle w:val="Hyperlink"/>
          </w:rPr>
          <w:t xml:space="preserve">https://doi.org/10.1371/journal.pone.0163962</w:t>
        </w:r>
      </w:hyperlink>
      <w:r>
        <w:t xml:space="preserve">.</w:t>
      </w:r>
    </w:p>
    <w:bookmarkEnd w:id="179"/>
    <w:bookmarkStart w:id="181"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80">
        <w:r>
          <w:rPr>
            <w:rStyle w:val="Hyperlink"/>
          </w:rPr>
          <w:t xml:space="preserve">https://doi.org/10.1016/j.ccell.2024.11.013</w:t>
        </w:r>
      </w:hyperlink>
      <w:r>
        <w:t xml:space="preserve">.</w:t>
      </w:r>
    </w:p>
    <w:bookmarkEnd w:id="181"/>
    <w:bookmarkStart w:id="183"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82">
        <w:r>
          <w:rPr>
            <w:rStyle w:val="Hyperlink"/>
          </w:rPr>
          <w:t xml:space="preserve">https://doi.org/10.1038/s41586-019-1719-9</w:t>
        </w:r>
      </w:hyperlink>
      <w:r>
        <w:t xml:space="preserve">.</w:t>
      </w:r>
    </w:p>
    <w:bookmarkEnd w:id="183"/>
    <w:bookmarkStart w:id="185"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84">
        <w:r>
          <w:rPr>
            <w:rStyle w:val="Hyperlink"/>
          </w:rPr>
          <w:t xml:space="preserve">https://doi.org/10.1038/s41586-020-3024-z</w:t>
        </w:r>
      </w:hyperlink>
      <w:r>
        <w:t xml:space="preserve">.</w:t>
      </w:r>
    </w:p>
    <w:bookmarkEnd w:id="185"/>
    <w:bookmarkStart w:id="186"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86"/>
    <w:bookmarkStart w:id="188"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87">
        <w:r>
          <w:rPr>
            <w:rStyle w:val="Hyperlink"/>
          </w:rPr>
          <w:t xml:space="preserve">https://doi.org/10.1093/nar/gkw879</w:t>
        </w:r>
      </w:hyperlink>
      <w:r>
        <w:t xml:space="preserve">.</w:t>
      </w:r>
    </w:p>
    <w:bookmarkEnd w:id="188"/>
    <w:bookmarkStart w:id="190"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89">
        <w:r>
          <w:rPr>
            <w:rStyle w:val="Hyperlink"/>
          </w:rPr>
          <w:t xml:space="preserve">https://doi.org/10.1111/exd.14385</w:t>
        </w:r>
      </w:hyperlink>
      <w:r>
        <w:t xml:space="preserve">.</w:t>
      </w:r>
    </w:p>
    <w:bookmarkEnd w:id="190"/>
    <w:bookmarkStart w:id="192"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91">
        <w:r>
          <w:rPr>
            <w:rStyle w:val="Hyperlink"/>
          </w:rPr>
          <w:t xml:space="preserve">https://doi.org/10.1371/journal.ppat.1006783</w:t>
        </w:r>
      </w:hyperlink>
      <w:r>
        <w:t xml:space="preserve">.</w:t>
      </w:r>
    </w:p>
    <w:bookmarkEnd w:id="192"/>
    <w:bookmarkStart w:id="193"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93"/>
    <w:bookmarkStart w:id="194"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94"/>
    <w:bookmarkStart w:id="196"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95">
        <w:r>
          <w:rPr>
            <w:rStyle w:val="Hyperlink"/>
          </w:rPr>
          <w:t xml:space="preserve">https://doi.org/10.1007/s00430-011-0212-3</w:t>
        </w:r>
      </w:hyperlink>
      <w:r>
        <w:t xml:space="preserve">.</w:t>
      </w:r>
    </w:p>
    <w:bookmarkEnd w:id="196"/>
    <w:bookmarkStart w:id="198"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97">
        <w:r>
          <w:rPr>
            <w:rStyle w:val="Hyperlink"/>
          </w:rPr>
          <w:t xml:space="preserve">https://doi.org/10.1001/jamadermatol.2025.0531</w:t>
        </w:r>
      </w:hyperlink>
      <w:r>
        <w:t xml:space="preserve">.</w:t>
      </w:r>
    </w:p>
    <w:bookmarkEnd w:id="198"/>
    <w:bookmarkStart w:id="200"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99">
        <w:r>
          <w:rPr>
            <w:rStyle w:val="Hyperlink"/>
          </w:rPr>
          <w:t xml:space="preserve">https://doi.org/10.1186/s13059-019-1891-0</w:t>
        </w:r>
      </w:hyperlink>
      <w:r>
        <w:t xml:space="preserve">.</w:t>
      </w:r>
    </w:p>
    <w:bookmarkEnd w:id="200"/>
    <w:bookmarkStart w:id="201"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201"/>
    <w:bookmarkEnd w:id="202"/>
    <w:bookmarkEnd w:id="203"/>
    <w:bookmarkStart w:id="217"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207" w:name="suppfig-depth"/>
          <w:p>
            <w:pPr>
              <w:pStyle w:val="Compact"/>
              <w:jc w:val="center"/>
            </w:pPr>
            <w:r>
              <w:drawing>
                <wp:inline>
                  <wp:extent cx="5943600" cy="3714749"/>
                  <wp:effectExtent b="0" l="0" r="0" t="0"/>
                  <wp:docPr descr="" title="" id="205" name="Picture"/>
                  <a:graphic>
                    <a:graphicData uri="http://schemas.openxmlformats.org/drawingml/2006/picture">
                      <pic:pic>
                        <pic:nvPicPr>
                          <pic:cNvPr descr="figureS1.png" id="206" name="Picture"/>
                          <pic:cNvPicPr>
                            <a:picLocks noChangeArrowheads="1" noChangeAspect="1"/>
                          </pic:cNvPicPr>
                        </pic:nvPicPr>
                        <pic:blipFill>
                          <a:blip r:embed="rId204"/>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20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8"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20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9"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0"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21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1"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2"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2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3"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1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4"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214"/>
        </w:tc>
      </w:tr>
    </w:tbl>
    <w:bookmarkStart w:id="216"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15"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215"/>
        </w:tc>
      </w:tr>
    </w:tbl>
    <w:bookmarkEnd w:id="216"/>
    <w:bookmarkEnd w:id="217"/>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204" Target="media/rId204.png" /><Relationship Type="http://schemas.openxmlformats.org/officeDocument/2006/relationships/hyperlink" Id="rId197" Target="https://doi.org/10.1001/jamadermatol.2025.0531" TargetMode="External" /><Relationship Type="http://schemas.openxmlformats.org/officeDocument/2006/relationships/hyperlink" Id="rId157" Target="https://doi.org/10.1001/jamadermatol.2026.0308" TargetMode="External" /><Relationship Type="http://schemas.openxmlformats.org/officeDocument/2006/relationships/hyperlink" Id="rId77" Target="https://doi.org/10.1002/ijc.33683" TargetMode="External" /><Relationship Type="http://schemas.openxmlformats.org/officeDocument/2006/relationships/hyperlink" Id="rId195" Target="https://doi.org/10.1007/s00430-011-0212-3" TargetMode="External" /><Relationship Type="http://schemas.openxmlformats.org/officeDocument/2006/relationships/hyperlink" Id="rId180" Target="https://doi.org/10.1016/j.ccell.2024.11.013" TargetMode="External" /><Relationship Type="http://schemas.openxmlformats.org/officeDocument/2006/relationships/hyperlink" Id="rId79" Target="https://doi.org/10.1016/j.cmi.2019.04.028" TargetMode="External" /><Relationship Type="http://schemas.openxmlformats.org/officeDocument/2006/relationships/hyperlink" Id="rId93" Target="https://doi.org/10.1016/j.coviro.2019.07.010" TargetMode="External" /><Relationship Type="http://schemas.openxmlformats.org/officeDocument/2006/relationships/hyperlink" Id="rId107" Target="https://doi.org/10.1016/j.virol.2019.08.007" TargetMode="External" /><Relationship Type="http://schemas.openxmlformats.org/officeDocument/2006/relationships/hyperlink" Id="rId119" Target="https://doi.org/10.1016/j.xgen.2022.100211" TargetMode="External" /><Relationship Type="http://schemas.openxmlformats.org/officeDocument/2006/relationships/hyperlink" Id="rId75" Target="https://doi.org/10.1038/jid.2011.91" TargetMode="External" /><Relationship Type="http://schemas.openxmlformats.org/officeDocument/2006/relationships/hyperlink" Id="rId71" Target="https://doi.org/10.1038/nature12064" TargetMode="External" /><Relationship Type="http://schemas.openxmlformats.org/officeDocument/2006/relationships/hyperlink" Id="rId109" Target="https://doi.org/10.1038/nbt.3820" TargetMode="External" /><Relationship Type="http://schemas.openxmlformats.org/officeDocument/2006/relationships/hyperlink" Id="rId162" Target="https://doi.org/10.1038/ng1044" TargetMode="External" /><Relationship Type="http://schemas.openxmlformats.org/officeDocument/2006/relationships/hyperlink" Id="rId182" Target="https://doi.org/10.1038/s41586-019-1719-9" TargetMode="External" /><Relationship Type="http://schemas.openxmlformats.org/officeDocument/2006/relationships/hyperlink" Id="rId139" Target="https://doi.org/10.1038/s41586-020-3023-0" TargetMode="External" /><Relationship Type="http://schemas.openxmlformats.org/officeDocument/2006/relationships/hyperlink" Id="rId184" Target="https://doi.org/10.1038/s41586-020-3024-z" TargetMode="External" /><Relationship Type="http://schemas.openxmlformats.org/officeDocument/2006/relationships/hyperlink" Id="rId116" Target="https://doi.org/10.1038/s41586-021-04332-2" TargetMode="External" /><Relationship Type="http://schemas.openxmlformats.org/officeDocument/2006/relationships/hyperlink" Id="rId88" Target="https://doi.org/10.1038/srep05807" TargetMode="External" /><Relationship Type="http://schemas.openxmlformats.org/officeDocument/2006/relationships/hyperlink" Id="rId164" Target="https://doi.org/10.1073/pnas.2118930119" TargetMode="External" /><Relationship Type="http://schemas.openxmlformats.org/officeDocument/2006/relationships/hyperlink" Id="rId133" Target="https://doi.org/10.1084/jem.20170308" TargetMode="External" /><Relationship Type="http://schemas.openxmlformats.org/officeDocument/2006/relationships/hyperlink" Id="rId111" Target="https://doi.org/10.1093/bioinformatics/bts635" TargetMode="External" /><Relationship Type="http://schemas.openxmlformats.org/officeDocument/2006/relationships/hyperlink" Id="rId148" Target="https://doi.org/10.1093/bioinformatics/btt656" TargetMode="External" /><Relationship Type="http://schemas.openxmlformats.org/officeDocument/2006/relationships/hyperlink" Id="rId95" Target="https://doi.org/10.1093/bioinformatics/bty560" TargetMode="External" /><Relationship Type="http://schemas.openxmlformats.org/officeDocument/2006/relationships/hyperlink" Id="rId105" Target="https://doi.org/10.1093/gigascience/giab008" TargetMode="External" /><Relationship Type="http://schemas.openxmlformats.org/officeDocument/2006/relationships/hyperlink" Id="rId168" Target="https://doi.org/10.1093/infdis/jiy577" TargetMode="External" /><Relationship Type="http://schemas.openxmlformats.org/officeDocument/2006/relationships/hyperlink" Id="rId144" Target="https://doi.org/10.1093/nar/gkq1019" TargetMode="External" /><Relationship Type="http://schemas.openxmlformats.org/officeDocument/2006/relationships/hyperlink" Id="rId187" Target="https://doi.org/10.1093/nar/gkw879" TargetMode="External" /><Relationship Type="http://schemas.openxmlformats.org/officeDocument/2006/relationships/hyperlink" Id="rId122" Target="https://doi.org/10.1097/DAD.0000000000001289" TargetMode="External" /><Relationship Type="http://schemas.openxmlformats.org/officeDocument/2006/relationships/hyperlink" Id="rId99" Target="https://doi.org/10.1101/2024.07.30.605881" TargetMode="External" /><Relationship Type="http://schemas.openxmlformats.org/officeDocument/2006/relationships/hyperlink" Id="rId189" Target="https://doi.org/10.1111/exd.14385" TargetMode="External" /><Relationship Type="http://schemas.openxmlformats.org/officeDocument/2006/relationships/hyperlink" Id="rId160" Target="https://doi.org/10.1111/j.0022-202X.2005.23635.x" TargetMode="External" /><Relationship Type="http://schemas.openxmlformats.org/officeDocument/2006/relationships/hyperlink" Id="rId97" Target="https://doi.org/10.1128/JCM.01785-07" TargetMode="External" /><Relationship Type="http://schemas.openxmlformats.org/officeDocument/2006/relationships/hyperlink" Id="rId150" Target="https://doi.org/10.1128/JVI.00093-14" TargetMode="External" /><Relationship Type="http://schemas.openxmlformats.org/officeDocument/2006/relationships/hyperlink" Id="rId136" Target="https://doi.org/10.1128/JVI.00822-15" TargetMode="External" /><Relationship Type="http://schemas.openxmlformats.org/officeDocument/2006/relationships/hyperlink" Id="rId170" Target="https://doi.org/10.1128/JVI.01003-18" TargetMode="External" /><Relationship Type="http://schemas.openxmlformats.org/officeDocument/2006/relationships/hyperlink" Id="rId91" Target="https://doi.org/10.1128/JVI.03365-14" TargetMode="External" /><Relationship Type="http://schemas.openxmlformats.org/officeDocument/2006/relationships/hyperlink" Id="rId73" Target="https://doi.org/10.1128/JVI.74.24.11636-11641.2000" TargetMode="External" /><Relationship Type="http://schemas.openxmlformats.org/officeDocument/2006/relationships/hyperlink" Id="rId124" Target="https://doi.org/10.1128/mbio.01607-23" TargetMode="External" /><Relationship Type="http://schemas.openxmlformats.org/officeDocument/2006/relationships/hyperlink" Id="rId81" Target="https://doi.org/10.1152/physiolgenomics.00093.2024" TargetMode="External" /><Relationship Type="http://schemas.openxmlformats.org/officeDocument/2006/relationships/hyperlink" Id="rId103" Target="https://doi.org/10.1158/0008-5472.CAN-08-3099" TargetMode="External" /><Relationship Type="http://schemas.openxmlformats.org/officeDocument/2006/relationships/hyperlink" Id="rId166" Target="https://doi.org/10.1158/0008-5472.CAN-21-0805" TargetMode="External" /><Relationship Type="http://schemas.openxmlformats.org/officeDocument/2006/relationships/hyperlink" Id="rId86" Target="https://doi.org/10.1158/1055-9965.EPI-09-0025" TargetMode="External" /><Relationship Type="http://schemas.openxmlformats.org/officeDocument/2006/relationships/hyperlink" Id="rId146" Target="https://doi.org/10.1158/1078-0432.CCR-25-0645" TargetMode="External" /><Relationship Type="http://schemas.openxmlformats.org/officeDocument/2006/relationships/hyperlink" Id="rId142" Target="https://doi.org/10.1158/2159-8290.CD-22-0489" TargetMode="External" /><Relationship Type="http://schemas.openxmlformats.org/officeDocument/2006/relationships/hyperlink" Id="rId172" Target="https://doi.org/10.1172/jci.insight.162558" TargetMode="External" /><Relationship Type="http://schemas.openxmlformats.org/officeDocument/2006/relationships/hyperlink" Id="rId154" Target="https://doi.org/10.1172/jci.insight.177898" TargetMode="External" /><Relationship Type="http://schemas.openxmlformats.org/officeDocument/2006/relationships/hyperlink" Id="rId174" Target="https://doi.org/10.1186/s12864-020-6483-6" TargetMode="External" /><Relationship Type="http://schemas.openxmlformats.org/officeDocument/2006/relationships/hyperlink" Id="rId199" Target="https://doi.org/10.1186/s13059-019-1891-0" TargetMode="External" /><Relationship Type="http://schemas.openxmlformats.org/officeDocument/2006/relationships/hyperlink" Id="rId178" Target="https://doi.org/10.1371/journal.pone.0163962" TargetMode="External" /><Relationship Type="http://schemas.openxmlformats.org/officeDocument/2006/relationships/hyperlink" Id="rId130" Target="https://doi.org/10.1371/journal.pone.0217942" TargetMode="External" /><Relationship Type="http://schemas.openxmlformats.org/officeDocument/2006/relationships/hyperlink" Id="rId191" Target="https://doi.org/10.1371/journal.ppat.1006783" TargetMode="External" /><Relationship Type="http://schemas.openxmlformats.org/officeDocument/2006/relationships/hyperlink" Id="rId84" Target="https://doi.org/10.3389/fmicb.2018.00117" TargetMode="External" /><Relationship Type="http://schemas.openxmlformats.org/officeDocument/2006/relationships/hyperlink" Id="rId101" Target="https://doi.org/10.3802/jgo.2018.29.e38" TargetMode="External" /><Relationship Type="http://schemas.openxmlformats.org/officeDocument/2006/relationships/hyperlink" Id="rId176"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26" Target="https://mc-stan.org/rstanarm/" TargetMode="External" /><Relationship Type="http://schemas.openxmlformats.org/officeDocument/2006/relationships/hyperlink" Id="rId35"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97" Target="https://doi.org/10.1001/jamadermatol.2025.0531" TargetMode="External" /><Relationship Type="http://schemas.openxmlformats.org/officeDocument/2006/relationships/hyperlink" Id="rId157" Target="https://doi.org/10.1001/jamadermatol.2026.0308" TargetMode="External" /><Relationship Type="http://schemas.openxmlformats.org/officeDocument/2006/relationships/hyperlink" Id="rId77" Target="https://doi.org/10.1002/ijc.33683" TargetMode="External" /><Relationship Type="http://schemas.openxmlformats.org/officeDocument/2006/relationships/hyperlink" Id="rId195" Target="https://doi.org/10.1007/s00430-011-0212-3" TargetMode="External" /><Relationship Type="http://schemas.openxmlformats.org/officeDocument/2006/relationships/hyperlink" Id="rId180" Target="https://doi.org/10.1016/j.ccell.2024.11.013" TargetMode="External" /><Relationship Type="http://schemas.openxmlformats.org/officeDocument/2006/relationships/hyperlink" Id="rId79" Target="https://doi.org/10.1016/j.cmi.2019.04.028" TargetMode="External" /><Relationship Type="http://schemas.openxmlformats.org/officeDocument/2006/relationships/hyperlink" Id="rId93" Target="https://doi.org/10.1016/j.coviro.2019.07.010" TargetMode="External" /><Relationship Type="http://schemas.openxmlformats.org/officeDocument/2006/relationships/hyperlink" Id="rId107" Target="https://doi.org/10.1016/j.virol.2019.08.007" TargetMode="External" /><Relationship Type="http://schemas.openxmlformats.org/officeDocument/2006/relationships/hyperlink" Id="rId119" Target="https://doi.org/10.1016/j.xgen.2022.100211" TargetMode="External" /><Relationship Type="http://schemas.openxmlformats.org/officeDocument/2006/relationships/hyperlink" Id="rId75" Target="https://doi.org/10.1038/jid.2011.91" TargetMode="External" /><Relationship Type="http://schemas.openxmlformats.org/officeDocument/2006/relationships/hyperlink" Id="rId71" Target="https://doi.org/10.1038/nature12064" TargetMode="External" /><Relationship Type="http://schemas.openxmlformats.org/officeDocument/2006/relationships/hyperlink" Id="rId109" Target="https://doi.org/10.1038/nbt.3820" TargetMode="External" /><Relationship Type="http://schemas.openxmlformats.org/officeDocument/2006/relationships/hyperlink" Id="rId162" Target="https://doi.org/10.1038/ng1044" TargetMode="External" /><Relationship Type="http://schemas.openxmlformats.org/officeDocument/2006/relationships/hyperlink" Id="rId182" Target="https://doi.org/10.1038/s41586-019-1719-9" TargetMode="External" /><Relationship Type="http://schemas.openxmlformats.org/officeDocument/2006/relationships/hyperlink" Id="rId139" Target="https://doi.org/10.1038/s41586-020-3023-0" TargetMode="External" /><Relationship Type="http://schemas.openxmlformats.org/officeDocument/2006/relationships/hyperlink" Id="rId184" Target="https://doi.org/10.1038/s41586-020-3024-z" TargetMode="External" /><Relationship Type="http://schemas.openxmlformats.org/officeDocument/2006/relationships/hyperlink" Id="rId116" Target="https://doi.org/10.1038/s41586-021-04332-2" TargetMode="External" /><Relationship Type="http://schemas.openxmlformats.org/officeDocument/2006/relationships/hyperlink" Id="rId88" Target="https://doi.org/10.1038/srep05807" TargetMode="External" /><Relationship Type="http://schemas.openxmlformats.org/officeDocument/2006/relationships/hyperlink" Id="rId164" Target="https://doi.org/10.1073/pnas.2118930119" TargetMode="External" /><Relationship Type="http://schemas.openxmlformats.org/officeDocument/2006/relationships/hyperlink" Id="rId133" Target="https://doi.org/10.1084/jem.20170308" TargetMode="External" /><Relationship Type="http://schemas.openxmlformats.org/officeDocument/2006/relationships/hyperlink" Id="rId111" Target="https://doi.org/10.1093/bioinformatics/bts635" TargetMode="External" /><Relationship Type="http://schemas.openxmlformats.org/officeDocument/2006/relationships/hyperlink" Id="rId148" Target="https://doi.org/10.1093/bioinformatics/btt656" TargetMode="External" /><Relationship Type="http://schemas.openxmlformats.org/officeDocument/2006/relationships/hyperlink" Id="rId95" Target="https://doi.org/10.1093/bioinformatics/bty560" TargetMode="External" /><Relationship Type="http://schemas.openxmlformats.org/officeDocument/2006/relationships/hyperlink" Id="rId105" Target="https://doi.org/10.1093/gigascience/giab008" TargetMode="External" /><Relationship Type="http://schemas.openxmlformats.org/officeDocument/2006/relationships/hyperlink" Id="rId168" Target="https://doi.org/10.1093/infdis/jiy577" TargetMode="External" /><Relationship Type="http://schemas.openxmlformats.org/officeDocument/2006/relationships/hyperlink" Id="rId144" Target="https://doi.org/10.1093/nar/gkq1019" TargetMode="External" /><Relationship Type="http://schemas.openxmlformats.org/officeDocument/2006/relationships/hyperlink" Id="rId187" Target="https://doi.org/10.1093/nar/gkw879" TargetMode="External" /><Relationship Type="http://schemas.openxmlformats.org/officeDocument/2006/relationships/hyperlink" Id="rId122" Target="https://doi.org/10.1097/DAD.0000000000001289" TargetMode="External" /><Relationship Type="http://schemas.openxmlformats.org/officeDocument/2006/relationships/hyperlink" Id="rId99" Target="https://doi.org/10.1101/2024.07.30.605881" TargetMode="External" /><Relationship Type="http://schemas.openxmlformats.org/officeDocument/2006/relationships/hyperlink" Id="rId189" Target="https://doi.org/10.1111/exd.14385" TargetMode="External" /><Relationship Type="http://schemas.openxmlformats.org/officeDocument/2006/relationships/hyperlink" Id="rId160" Target="https://doi.org/10.1111/j.0022-202X.2005.23635.x" TargetMode="External" /><Relationship Type="http://schemas.openxmlformats.org/officeDocument/2006/relationships/hyperlink" Id="rId97" Target="https://doi.org/10.1128/JCM.01785-07" TargetMode="External" /><Relationship Type="http://schemas.openxmlformats.org/officeDocument/2006/relationships/hyperlink" Id="rId150" Target="https://doi.org/10.1128/JVI.00093-14" TargetMode="External" /><Relationship Type="http://schemas.openxmlformats.org/officeDocument/2006/relationships/hyperlink" Id="rId136" Target="https://doi.org/10.1128/JVI.00822-15" TargetMode="External" /><Relationship Type="http://schemas.openxmlformats.org/officeDocument/2006/relationships/hyperlink" Id="rId170" Target="https://doi.org/10.1128/JVI.01003-18" TargetMode="External" /><Relationship Type="http://schemas.openxmlformats.org/officeDocument/2006/relationships/hyperlink" Id="rId91" Target="https://doi.org/10.1128/JVI.03365-14" TargetMode="External" /><Relationship Type="http://schemas.openxmlformats.org/officeDocument/2006/relationships/hyperlink" Id="rId73" Target="https://doi.org/10.1128/JVI.74.24.11636-11641.2000" TargetMode="External" /><Relationship Type="http://schemas.openxmlformats.org/officeDocument/2006/relationships/hyperlink" Id="rId124" Target="https://doi.org/10.1128/mbio.01607-23" TargetMode="External" /><Relationship Type="http://schemas.openxmlformats.org/officeDocument/2006/relationships/hyperlink" Id="rId81" Target="https://doi.org/10.1152/physiolgenomics.00093.2024" TargetMode="External" /><Relationship Type="http://schemas.openxmlformats.org/officeDocument/2006/relationships/hyperlink" Id="rId103" Target="https://doi.org/10.1158/0008-5472.CAN-08-3099" TargetMode="External" /><Relationship Type="http://schemas.openxmlformats.org/officeDocument/2006/relationships/hyperlink" Id="rId166" Target="https://doi.org/10.1158/0008-5472.CAN-21-0805" TargetMode="External" /><Relationship Type="http://schemas.openxmlformats.org/officeDocument/2006/relationships/hyperlink" Id="rId86" Target="https://doi.org/10.1158/1055-9965.EPI-09-0025" TargetMode="External" /><Relationship Type="http://schemas.openxmlformats.org/officeDocument/2006/relationships/hyperlink" Id="rId146" Target="https://doi.org/10.1158/1078-0432.CCR-25-0645" TargetMode="External" /><Relationship Type="http://schemas.openxmlformats.org/officeDocument/2006/relationships/hyperlink" Id="rId142" Target="https://doi.org/10.1158/2159-8290.CD-22-0489" TargetMode="External" /><Relationship Type="http://schemas.openxmlformats.org/officeDocument/2006/relationships/hyperlink" Id="rId172" Target="https://doi.org/10.1172/jci.insight.162558" TargetMode="External" /><Relationship Type="http://schemas.openxmlformats.org/officeDocument/2006/relationships/hyperlink" Id="rId154" Target="https://doi.org/10.1172/jci.insight.177898" TargetMode="External" /><Relationship Type="http://schemas.openxmlformats.org/officeDocument/2006/relationships/hyperlink" Id="rId174" Target="https://doi.org/10.1186/s12864-020-6483-6" TargetMode="External" /><Relationship Type="http://schemas.openxmlformats.org/officeDocument/2006/relationships/hyperlink" Id="rId199" Target="https://doi.org/10.1186/s13059-019-1891-0" TargetMode="External" /><Relationship Type="http://schemas.openxmlformats.org/officeDocument/2006/relationships/hyperlink" Id="rId178" Target="https://doi.org/10.1371/journal.pone.0163962" TargetMode="External" /><Relationship Type="http://schemas.openxmlformats.org/officeDocument/2006/relationships/hyperlink" Id="rId130" Target="https://doi.org/10.1371/journal.pone.0217942" TargetMode="External" /><Relationship Type="http://schemas.openxmlformats.org/officeDocument/2006/relationships/hyperlink" Id="rId191" Target="https://doi.org/10.1371/journal.ppat.1006783" TargetMode="External" /><Relationship Type="http://schemas.openxmlformats.org/officeDocument/2006/relationships/hyperlink" Id="rId84" Target="https://doi.org/10.3389/fmicb.2018.00117" TargetMode="External" /><Relationship Type="http://schemas.openxmlformats.org/officeDocument/2006/relationships/hyperlink" Id="rId101" Target="https://doi.org/10.3802/jgo.2018.29.e38" TargetMode="External" /><Relationship Type="http://schemas.openxmlformats.org/officeDocument/2006/relationships/hyperlink" Id="rId176"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26" Target="https://mc-stan.org/rstanarm/" TargetMode="External" /><Relationship Type="http://schemas.openxmlformats.org/officeDocument/2006/relationships/hyperlink" Id="rId35"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2026-08-23T06:04:32Z</dcterms:created>
  <dcterms:modified xsi:type="dcterms:W3CDTF">2026-08-23T06:04:32Z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