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0"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(immortalized keratinocyte EV models) remain in the cell-line tier, whereas the EV tier holds the 10 EV patient skin biopsies.</w:t>
            </w:r>
          </w:p>
          <w:bookmarkEnd w:id="44"/>
        </w:tc>
      </w:tr>
    </w:tbl>
    <w:p>
      <w:pPr>
        <w:pStyle w:val="BodyText"/>
      </w:pPr>
      <w:r>
        <w:t xml:space="preserve">This gap is not explained by sequencing depth. Modeling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tiers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Every panel is conditional on HPV positivity and successful transcript classification, so this figure describes the program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detection-tier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Gray crosses mark tiers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2026-08-24T12:37:35Z</dcterms:created>
  <dcterms:modified xsi:type="dcterms:W3CDTF">2026-08-24T12:37:35Z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