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5.png" ContentType="image/png"/>
  <Override PartName="/word/media/rId41.png" ContentType="image/png"/>
  <Override PartName="/word/media/rId45.png" ContentType="image/png"/>
  <Override PartName="/word/media/rId51.png" ContentType="image/png"/>
  <Override PartName="/word/media/rId208.png" ContentType="image/png"/>
  <Override PartName="/word/media/rId2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harboured genuine productive gamma-/alpha-HPV infection (HPV12, HPV96, HPV182, HPV16). Cutaneous HPV is productive in warts but quiet in healthy skin and carcinoma: a trace, non-productive footprint that any account of beta-HPV in skin must accommodate. Beyond HPV, this contamination-aware framework, normalised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At DNA level this reservoir is both large and well mapped: shotgun metagenomics of the Human Microbiome Project found HPV in 61.3% of skin samples from healthy subjects, the highest of any body site surveyed</w:t>
      </w:r>
      <w:r>
        <w:t xml:space="preserve"> </w:t>
      </w:r>
      <w:r>
        <w:t xml:space="preserve">(Ma et al. 2014)</w:t>
      </w:r>
      <w:r>
        <w:t xml:space="preserve">, and type-specific PCR of skin swabs detects beta-HPV in 92% and gamma-HPV in 84% of adults undergoing skin-cancer screening</w:t>
      </w:r>
      <w:r>
        <w:t xml:space="preserve"> </w:t>
      </w:r>
      <w:r>
        <w:t xml:space="preserve">(Rollison, Schell, et al. 2019)</w:t>
      </w:r>
      <w:r>
        <w:t xml:space="preserve">. Deep sequencing of skin has extended the catalogue to 396 HPV types, 229 of them previously unknown</w:t>
      </w:r>
      <w:r>
        <w:t xml:space="preserve"> </w:t>
      </w:r>
      <w:r>
        <w:t xml:space="preserve">(Bzhalava et al. 2014)</w:t>
      </w:r>
      <w:r>
        <w:t xml:space="preserve">, so the reservoir is also substantially larger than any reference panel describes. What these DNA-based figures cannot say is whether any of that genetic material is being transcribed.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Viarisio,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colonisation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immortalisation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Integration itself is not a single state, and reading it from transcription rather than presence is what separates its variants: multi-omic profiling of cervical cancer distinguishes silent from productive integration sites by whether they generate viral-host fusion transcripts, finds only the productive class non-randomly distributed and associated with higher E6/E7 protein and more aggressive disease, and shows the productive fraction rising from carcinoma in situ to advanced disease</w:t>
      </w:r>
      <w:r>
        <w:t xml:space="preserve"> </w:t>
      </w:r>
      <w:r>
        <w:t xml:space="preserve">(Fan et al. 2023)</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catalogued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localised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 The first and third of these have been answered at DNA level, by body-site metagenomic mapping of healthy carriage</w:t>
      </w:r>
      <w:r>
        <w:t xml:space="preserve"> </w:t>
      </w:r>
      <w:r>
        <w:t xml:space="preserve">(Ma et al. 2014)</w:t>
      </w:r>
      <w:r>
        <w:t xml:space="preserve">; what is asked here is the transcriptional counterpart, which is a different quantity and, as the results show, a much smaller one.</w:t>
      </w:r>
    </w:p>
    <w:bookmarkEnd w:id="21"/>
    <w:bookmarkStart w:id="34"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3"/>
    <w:bookmarkEnd w:id="34"/>
    <w:bookmarkStart w:id="57"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40"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p>
      <w:pPr>
        <w:pStyle w:val="BodyText"/>
      </w:pPr>
      <w:r>
        <w:t xml:space="preserve">The transcripts themselves carry an independent signature of that artefact, in two forms. E1 and E2 are encoded on the same early polycistronic message, so their read counts should track one another; integration characteristically disrupts the E2 open reading frame while sparing E1, inverting the ratio. Cell-line libraries show a median E1:E2 ratio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0% of peri-lesional mucosa, the two tiers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tier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ratio rises monotonically with grade.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it runs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which is a shift of roughly eightfold in the ratio itself, in the direction integration predicts.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38" w:name="fig-integration"/>
          <w:p>
            <w:pPr>
              <w:pStyle w:val="Compact"/>
              <w:jc w:val="center"/>
            </w:pPr>
            <w:r>
              <w:drawing>
                <wp:inline>
                  <wp:extent cx="5943600" cy="4754880"/>
                  <wp:effectExtent b="0" l="0" r="0" t="0"/>
                  <wp:docPr descr="" title="" id="36" name="Picture"/>
                  <a:graphic>
                    <a:graphicData uri="http://schemas.openxmlformats.org/drawingml/2006/picture">
                      <pic:pic>
                        <pic:nvPicPr>
                          <pic:cNvPr descr="figure1.png" id="37" name="Picture"/>
                          <pic:cNvPicPr>
                            <a:picLocks noChangeArrowheads="1" noChangeAspect="1"/>
                          </pic:cNvPicPr>
                        </pic:nvPicPr>
                        <pic:blipFill>
                          <a:blip r:embed="rId3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population tier,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grey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39"/>
          <w:p/>
        </w:tc>
      </w:tr>
    </w:tbl>
    <w:bookmarkEnd w:id="40"/>
    <w:bookmarkStart w:id="49"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residual footprint, was resolved by the depth-normalised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1.5% of libraries (median 0.012 RPM), six orders of magnitude below the productive controls, despite being sequenced almost four times more deeply than they were (median 45.2M vs 12.2M reads). Unselected skin, once the peri-lesional and EV material that the targeted queries had swept into it was reassigned to its own tiers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4" w:name="fig-rpm"/>
          <w:p>
            <w:pPr>
              <w:pStyle w:val="Compact"/>
              <w:jc w:val="center"/>
            </w:pPr>
            <w:r>
              <w:drawing>
                <wp:inline>
                  <wp:extent cx="5943600" cy="3632200"/>
                  <wp:effectExtent b="0" l="0" r="0" t="0"/>
                  <wp:docPr descr="" title="" id="42" name="Picture"/>
                  <a:graphic>
                    <a:graphicData uri="http://schemas.openxmlformats.org/drawingml/2006/picture">
                      <pic:pic>
                        <pic:nvPicPr>
                          <pic:cNvPr descr="figure2.png" id="43" name="Picture"/>
                          <pic:cNvPicPr>
                            <a:picLocks noChangeArrowheads="1" noChangeAspect="1"/>
                          </pic:cNvPicPr>
                        </pic:nvPicPr>
                        <pic:blipFill>
                          <a:blip r:embed="rId41"/>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peri-lesional mucosa (condyloma-adjacent tissue; 15), non-permissive tissue (cutaneous adipose, which has no stratified squamous compartment in which a papillomavirus could replicate; 334), and libraries with no recorded site (1,317; the residual tier,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(1.5% and 0.1% above floor) despite neoplasia being sequenced far more deeply than the productive controls (median 45.2M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4"/>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tiers (OR 1.5, 0.4–5.2,</w:t>
      </w:r>
      <w:r>
        <w:t xml:space="preserve"> </w:t>
      </w:r>
      <w:r>
        <w:rPr>
          <w:i/>
          <w:iCs/>
        </w:rPr>
        <w:t xml:space="preserve">P</w:t>
      </w:r>
      <w:r>
        <w:t xml:space="preserve"> </w:t>
      </w:r>
      <w:r>
        <w:t xml:space="preserve">= 0.49) or within the neoplasia tier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Nor is it explained by how the libraries were built. Depth is one bound on viral-transcript recovery; RNA-selection chemistry is the other, and poly-A capture is the chemistry least favourable to it. Chemistry was resolved for 6,751 libraries (62.2%) from SRA metadata and library-construction protocol text, and it is not balanced across tiers, but the imbalance runs against the negative result rather than producing it: the neoplasia tier is rRNA-depleted in 22.9% of libraries against 7.2% of unselected skin (</w:t>
      </w:r>
      <w:hyperlink w:anchor="supptbl-chem">
        <w:r>
          <w:rPr>
            <w:rStyle w:val="Hyperlink"/>
          </w:rPr>
          <w:t xml:space="preserve">Table S5</w:t>
        </w:r>
      </w:hyperlink>
      <w:r>
        <w:t xml:space="preserve">), while the productive controls, the tier in which productive infection is abundant, contain no rRNA-depleted libraries at all. The tier in which no productive infection is found was thus built, three times more often than its comparator, with the chemistry most favourable to finding it. Within the two tiers of the contrast, and adjusting for depth and tier, rRNA-depleted libraries were no more likely than poly-A libraries to carry any HPV read (OR 1.0, 95% CI 0.8–1.2,</w:t>
      </w:r>
      <w:r>
        <w:t xml:space="preserve"> </w:t>
      </w:r>
      <w:r>
        <w:rPr>
          <w:i/>
          <w:iCs/>
        </w:rPr>
        <w:t xml:space="preserve">P</w:t>
      </w:r>
      <w:r>
        <w:t xml:space="preserve"> </w:t>
      </w:r>
      <w:r>
        <w:t xml:space="preserve">= 0.93; OR 1.2, 1.0–1.4 across all tiers). What did move trace detection, by three- to four-fold at equal depth, was not selection chemistry but amplification: SMART template-switching (OR 4.4) and 3’-barcoded droplet libraries (OR 3.6), a pattern that reads as amplification and barcode-swapping artefact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favourable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tier, reached the productive floor.</w:t>
      </w:r>
    </w:p>
    <w:p>
      <w:pPr>
        <w:pStyle w:val="BodyText"/>
      </w:pPr>
      <w:r>
        <w:t xml:space="preserve">Pooling actinic keratosis with carcinoma is a choice the data support rather than an assumption. Split on diagnosis, the tier comprises 72 AK libraries from 6 studies and 326 cSCC libraries from 19 studies (a further 8 naming both are held out as ambiguous). Both arms sit well above unselected skin, and by almost identical margins: trace HPV at OR 2.6 for AK (</w:t>
      </w:r>
      <w:r>
        <w:rPr>
          <w:i/>
          <w:iCs/>
        </w:rPr>
        <w:t xml:space="preserve">P</w:t>
      </w:r>
      <w:r>
        <w:t xml:space="preserve"> </w:t>
      </w:r>
      <w:r>
        <w:t xml:space="preserve">= 1.5×10⁻⁴) and OR 1.9 for cSCC (</w:t>
      </w:r>
      <w:r>
        <w:rPr>
          <w:i/>
          <w:iCs/>
        </w:rPr>
        <w:t xml:space="preserve">P</w:t>
      </w:r>
      <w:r>
        <w:t xml:space="preserve"> </w:t>
      </w:r>
      <w:r>
        <w:t xml:space="preserve">= 5.6×10⁻⁸), and productive-floor detection at OR 14 and 14. Against each other they are indistinguishable on either measure, depth-adjusted: trace OR 1.4 (95% CI 0.8–2.3,</w:t>
      </w:r>
      <w:r>
        <w:t xml:space="preserve"> </w:t>
      </w:r>
      <w:r>
        <w:rPr>
          <w:i/>
          <w:iCs/>
        </w:rPr>
        <w:t xml:space="preserve">P</w:t>
      </w:r>
      <w:r>
        <w:t xml:space="preserve"> </w:t>
      </w:r>
      <w:r>
        <w:t xml:space="preserve">= 0.28), and floor-level detection 1/72 against 5/326 (Fisher</w:t>
      </w:r>
      <w:r>
        <w:t xml:space="preserve"> </w:t>
      </w:r>
      <w:r>
        <w:rPr>
          <w:i/>
          <w:iCs/>
        </w:rPr>
        <w:t xml:space="preserve">P</w:t>
      </w:r>
      <w:r>
        <w:t xml:space="preserve"> </w:t>
      </w:r>
      <w:r>
        <w:t xml:space="preserve">= 1). The precursor lesion and the carcinoma carry the same trace, non-productive HPV signal, so the tier is not averaging two different phenomena.</w:t>
      </w:r>
    </w:p>
    <w:p>
      <w:pPr>
        <w:pStyle w:val="BodyText"/>
      </w:pPr>
      <w:r>
        <w:t xml:space="preserve">The transcript programme itself makes the distinction visible (</w:t>
      </w:r>
      <w:hyperlink w:anchor="fig-orf">
        <w:r>
          <w:rPr>
            <w:rStyle w:val="Hyperlink"/>
          </w:rPr>
          <w:t xml:space="preserve">Figure 3</w:t>
        </w:r>
      </w:hyperlink>
      <w:r>
        <w:t xml:space="preserve">). Read gene by gene, the productive tiers run the complete viral programme, capsid genes included: 90% of productive-control libraries and 95.5% of EV biopsies carry L1 reads. Skin and neoplasia are not a truncated version of that programme but a uniformly faint one, low across the whole genome alike (unselected skin 10.3% for E6 and 18.6% for L1), which is the signature of a trace rather than of a life cycle arrested before its late phase. Cell lines are the third shape and the one that matters for provenance: E6 and E7 in 90.4% and 93.4% of libraries against E2 in 33.8% and L2 in 10.6%, the integrated pattern of</w:t>
      </w:r>
      <w:r>
        <w:t xml:space="preserve"> </w:t>
      </w:r>
      <w:hyperlink w:anchor="fig-integration">
        <w:r>
          <w:rPr>
            <w:rStyle w:val="Hyperlink"/>
          </w:rPr>
          <w:t xml:space="preserve">Figure 1</w:t>
        </w:r>
      </w:hyperlink>
      <w:r>
        <w:t xml:space="preserve"> </w:t>
      </w:r>
      <w:r>
        <w:t xml:space="preserve">generalised from one ratio to the whole genome. Where there are enough reads to apportion, the same contrast appears as composition: productive controls place 34.9% of their viral reads on the late genes against 6.4% on E6 and E7, and cell lines invert this exactly, 2.2% late against 66.6% oncogenic.</w:t>
      </w:r>
    </w:p>
    <w:tbl>
      <w:tblPr>
        <w:tblStyle w:val="Table"/>
        <w:tblW w:type="pct" w:w="5000"/>
        <w:tblLayout w:type="fixed"/>
        <w:tblLook w:firstRow="0" w:lastRow="0" w:firstColumn="0" w:lastColumn="0" w:noHBand="0" w:noVBand="0" w:val="0000"/>
      </w:tblPr>
      <w:tblGrid>
        <w:gridCol w:w="7920"/>
      </w:tblGrid>
      <w:tr>
        <w:tc>
          <w:tcPr/>
          <w:bookmarkStart w:id="48" w:name="fig-orf"/>
          <w:p>
            <w:pPr>
              <w:pStyle w:val="Compact"/>
              <w:jc w:val="center"/>
            </w:pPr>
            <w:r>
              <w:drawing>
                <wp:inline>
                  <wp:extent cx="5943600" cy="7594599"/>
                  <wp:effectExtent b="0" l="0" r="0" t="0"/>
                  <wp:docPr descr="" title="" id="46" name="Picture"/>
                  <a:graphic>
                    <a:graphicData uri="http://schemas.openxmlformats.org/drawingml/2006/picture">
                      <pic:pic>
                        <pic:nvPicPr>
                          <pic:cNvPr descr="figure3.png" id="47" name="Picture"/>
                          <pic:cNvPicPr>
                            <a:picLocks noChangeArrowheads="1" noChangeAspect="1"/>
                          </pic:cNvPicPr>
                        </pic:nvPicPr>
                        <pic:blipFill>
                          <a:blip r:embed="rId45"/>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programme by population tier. Every panel is conditional on HPV positivity and successful transcript classification, so this figure describes the programme of detected infections and is not a prevalence statement; the 428 libraries with a classification are distributed unevenly across tiers, and each tier’s</w:t>
            </w:r>
            <w:r>
              <w:t xml:space="preserve"> </w:t>
            </w:r>
            <w:r>
              <w:rPr>
                <w:i/>
                <w:iCs/>
              </w:rPr>
              <w:t xml:space="preserve">n</w:t>
            </w:r>
            <w:r>
              <w:t xml:space="preserve"> </w:t>
            </w:r>
            <w:r>
              <w:t xml:space="preserve">is printed on the panel. E5 is omitted, being absent from most beta- and gamma-types and zero in every tier here. (</w:t>
            </w:r>
            <w:r>
              <w:rPr>
                <w:b/>
                <w:bCs/>
              </w:rPr>
              <w:t xml:space="preserve">A</w:t>
            </w:r>
            <w:r>
              <w:t xml:space="preserve">) Programme breadth: the percentage of a tier’s libraries carrying at least one read on each open reading frame, as a Beta-Binomial posterior mean under a weakly-informative Beta(0.5, 0.5) prior, as elsewhere in this work. Three shapes separate. Productive controls, EV and peri-lesional mucosa transcribe the entire genome including the capsid genes; unselected skin and neoplasia are uniformly low across all six frames; cell-line and engineered libraries carry the integrated signature directly, with the oncogenes retained and E2 and the late genes lost. (</w:t>
            </w:r>
            <w:r>
              <w:rPr>
                <w:b/>
                <w:bCs/>
              </w:rPr>
              <w:t xml:space="preserve">B</w:t>
            </w:r>
            <w:r>
              <w:t xml:space="preserve">) Programme composition: the mean share of a library’s viral reads falling on each frame, stacked in genome order. Restricted to libraries with at least 20 viral reads, because composition is not estimable below that and a single read would otherwise determine a library’s entire profile; the surviving</w:t>
            </w:r>
            <w:r>
              <w:t xml:space="preserve"> </w:t>
            </w:r>
            <w:r>
              <w:rPr>
                <w:i/>
                <w:iCs/>
              </w:rPr>
              <w:t xml:space="preserve">n</w:t>
            </w:r>
            <w:r>
              <w:t xml:space="preserve"> </w:t>
            </w:r>
            <w:r>
              <w:t xml:space="preserve">is printed per bar, and for unselected skin it is 36 of 7,800, so this panel describes the shape of detectable infections in that tier and not the tier. (</w:t>
            </w:r>
            <w:r>
              <w:rPr>
                <w:b/>
                <w:bCs/>
              </w:rPr>
              <w:t xml:space="preserve">C</w:t>
            </w:r>
            <w:r>
              <w:t xml:space="preserve">) The productive criterion itself: early-region reads against L1 major-capsid reads for each library, with the L1 ≥ 3 threshold drawn. The vertical axis is L1 rather than the whole late region so that the line is exactly the rule applied throughout, and the productive controls and EV biopsies separate from skin and neoplasia along it.</w:t>
            </w:r>
          </w:p>
          <w:bookmarkEnd w:id="48"/>
        </w:tc>
      </w:tr>
    </w:tbl>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tier is the conservative choice.</w:t>
      </w:r>
    </w:p>
    <w:bookmarkEnd w:id="49"/>
    <w:bookmarkStart w:id="50"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 skin library productively infected with the gamma-type HPV12 (99.8% genome coverage; L1 = 1,803, L2 = 3,546 reads), two HPV16-productive cSCC libraries, and two libraries from cutaneous actinic-keratosis/cSCC cohorts whose SRA records carry no tissue field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tier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50"/>
    <w:bookmarkStart w:id="55"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drawn against the detection tier in</w:t>
      </w:r>
      <w:r>
        <w:t xml:space="preserve"> </w:t>
      </w:r>
      <w:hyperlink w:anchor="suppfig-types">
        <w:r>
          <w:rPr>
            <w:rStyle w:val="Hyperlink"/>
          </w:rPr>
          <w:t xml:space="preserve">Figure S2</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fig-genus">
        <w:r>
          <w:rPr>
            <w:rStyle w:val="Hyperlink"/>
          </w:rPr>
          <w:t xml:space="preserve">Figure 4</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S7</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4" w:name="fig-genus"/>
          <w:p>
            <w:pPr>
              <w:pStyle w:val="Compact"/>
              <w:jc w:val="center"/>
            </w:pPr>
            <w:r>
              <w:drawing>
                <wp:inline>
                  <wp:extent cx="5943600" cy="3622765"/>
                  <wp:effectExtent b="0" l="0" r="0" t="0"/>
                  <wp:docPr descr="" title="" id="52" name="Picture"/>
                  <a:graphic>
                    <a:graphicData uri="http://schemas.openxmlformats.org/drawingml/2006/picture">
                      <pic:pic>
                        <pic:nvPicPr>
                          <pic:cNvPr descr="figure4.png" id="53" name="Picture"/>
                          <pic:cNvPicPr>
                            <a:picLocks noChangeArrowheads="1" noChangeAspect="1"/>
                          </pic:cNvPicPr>
                        </pic:nvPicPr>
                        <pic:blipFill>
                          <a:blip r:embed="rId51"/>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tier in which beta exceeds alpha (2.8% [1.4–4.6] versus 2.1% [0.94–3.7]), consistent with a beta-HPV footprint, though at prevalences one to two orders of magnitude below the productive tiers. The mu genus (HPV1, the classic plantar-wart type) was detected in no tier.</w:t>
            </w:r>
          </w:p>
          <w:bookmarkEnd w:id="54"/>
        </w:tc>
      </w:tr>
    </w:tbl>
    <w:bookmarkEnd w:id="55"/>
    <w:bookmarkStart w:id="56"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regularised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56"/>
    <w:bookmarkEnd w:id="57"/>
    <w:bookmarkStart w:id="67"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58"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tier’s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artefact of shallow sequencing. Nor is the literature unanimous: in situ hybridization on PCR-positive transplant-recipient cSCC demonstrated EV-HPV transcripts in 4 of 11 tumours, localised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the virus is dispensable once the tumour is established</w:t>
      </w:r>
      <w:r>
        <w:t xml:space="preserve"> </w:t>
      </w:r>
      <w:r>
        <w:t xml:space="preserve">(Howley and Pfister 2015; Viarisio et al. 2018; Dorfer et al. 2021)</w:t>
      </w:r>
      <w:r>
        <w:t xml:space="preserve">.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colonisation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localised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immortalisation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p>
      <w:pPr>
        <w:pStyle w:val="BodyText"/>
      </w:pPr>
      <w:r>
        <w:t xml:space="preserve">One line of evidence does go beyond observation, and it is worth stating precisely what it shows. In a double-blind randomised sham-controlled trial, 70 immunocompetent adults with 15 or more actinic keratoses received a nine-valent papillomavirus vaccine or sham. Lesion-burden reductions were greater in the vaccinated group at 6 and 12 months (47% versus 29%,</w:t>
      </w:r>
      <w:r>
        <w:t xml:space="preserve"> </w:t>
      </w:r>
      <w:r>
        <w:rPr>
          <w:i/>
          <w:iCs/>
        </w:rPr>
        <w:t xml:space="preserve">P</w:t>
      </w:r>
      <w:r>
        <w:t xml:space="preserve"> </w:t>
      </w:r>
      <w:r>
        <w:t xml:space="preserve">= 0.01; 58% versus 47%,</w:t>
      </w:r>
      <w:r>
        <w:t xml:space="preserve"> </w:t>
      </w:r>
      <w:r>
        <w:rPr>
          <w:i/>
          <w:iCs/>
        </w:rPr>
        <w:t xml:space="preserve">P</w:t>
      </w:r>
      <w:r>
        <w:t xml:space="preserve"> </w:t>
      </w:r>
      <w:r>
        <w:t xml:space="preserve">= 0.05), with fewer thick lesions, and no difference in the rate of new lesions or in keratinocyte-carcinoma incidence over the year</w:t>
      </w:r>
      <w:r>
        <w:t xml:space="preserve"> </w:t>
      </w:r>
      <w:r>
        <w:t xml:space="preserve">(Wenande et al. 2025)</w:t>
      </w:r>
      <w:r>
        <w:t xml:space="preserve">. This is the interventional experiment a cross-sectional transcriptomic survey cannot perform, and it shows that manipulating papillomavirus immunity changes precancerous lesion burden. It is not evidence that beta-HPV is productively replicating in those lesions, and it does not identify the virus responsible: the vaccine targets nine mucosal alphapapillomavirus types, none of them the cutaneous beta-types that dominate the skin reservoir, so any effect must run through cross-reactive or non-specific immunity rather than through neutralising the resident virus. Our result is consistent with that reading rather than in tension with it, since an immunological intervention can reduce lesion burden without productive viral replication being present to target.</w:t>
      </w:r>
    </w:p>
    <w:bookmarkEnd w:id="58"/>
    <w:bookmarkStart w:id="59"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tier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59"/>
    <w:bookmarkStart w:id="60" w:name="Xf617dc2ab18402abc80a3ee9c5bf9b314603b5d"/>
    <w:p>
      <w:pPr>
        <w:pStyle w:val="Heading3"/>
      </w:pPr>
      <w:r>
        <w:t xml:space="preserve">What a 2-4% transcriptome prevalence means against a 90% DNA reservoir</w:t>
      </w:r>
    </w:p>
    <w:p>
      <w:pPr>
        <w:pStyle w:val="FirstParagraph"/>
      </w:pPr>
      <w:r>
        <w:t xml:space="preserve">Our primary-skin figure of 2-4% sits against a DNA literature reporting cutaneous beta-HPV in the large majority of healthy adults, and the gap is wide enough that it has to be addressed directly rather than filed under limitations. It is not a contradiction, because the two numbers measure different things, and three published quantities show why.</w:t>
      </w:r>
    </w:p>
    <w:p>
      <w:pPr>
        <w:pStyle w:val="BodyText"/>
      </w:pPr>
      <w:r>
        <w:t xml:space="preserve">The first is abundance. Quantitative PCR of eyebrow hair follicles across 782 immunocompetent people and organ-transplant recipients found median beta-HPV DNA loads below one viral copy per 60 cells, spanning seven orders of magnitude</w:t>
      </w:r>
      <w:r>
        <w:t xml:space="preserve"> </w:t>
      </w:r>
      <w:r>
        <w:t xml:space="preserve">(Weissenborn et al. 2012)</w:t>
      </w:r>
      <w:r>
        <w:t xml:space="preserve">. A commensal carried at that density is below the detection floor of bulk RNA sequencing by construction: even under perfect transcription, one genome per 60 cells contributes a vanishing fraction of a library’s reads. Most of the DNA assays reporting high prevalence are type-specific PCR amplifications designed to find exactly this, and they are orders of magnitude more sensitive than untargeted sequencing of total RNA; the untargeted metagenomic survey that also reports high skin prevalence sampled skin-surface sites</w:t>
      </w:r>
      <w:r>
        <w:t xml:space="preserve"> </w:t>
      </w:r>
      <w:r>
        <w:t xml:space="preserve">(Ma et al. 2014)</w:t>
      </w:r>
      <w:r>
        <w:t xml:space="preserve">, which brings in the second difference.</w:t>
      </w:r>
    </w:p>
    <w:p>
      <w:pPr>
        <w:pStyle w:val="BodyText"/>
      </w:pPr>
      <w:r>
        <w:t xml:space="preserve">The second is substrate. The standard substrates of cutaneous beta-HPV epidemiology are surface skin swabs and plucked eyebrow hair bulbs, and the choice between them changes the answer: in the same 370 individuals, beta-HPV prevalence was 92% in swabs against 73% in eyebrow hairs, and gamma-HPV 84% against 43%</w:t>
      </w:r>
      <w:r>
        <w:t xml:space="preserve"> </w:t>
      </w:r>
      <w:r>
        <w:t xml:space="preserve">(Rollison, Schell, et al. 2019)</w:t>
      </w:r>
      <w:r>
        <w:t xml:space="preserve">. Both sample the follicular and superficial compartments where the commensal reservoir resides. Our substrate is neither. Archived RNA-seq libraries are made from biopsy or excision tissue, which is dominated by the dermis and the viable epidermis and largely excludes the surface and follicular material that swabs and hair bulbs are designed to capture. Our 2-4% is therefore a statement about papillomavirus transcript abundance within intra-epidermal biopsy tissue, not an estimate of the reservoir as the DNA literature defines and samples it.</w:t>
      </w:r>
    </w:p>
    <w:p>
      <w:pPr>
        <w:pStyle w:val="BodyText"/>
      </w:pPr>
      <w:r>
        <w:t xml:space="preserve">The third is the reference panel. Deep sequencing of human skin has catalogued 396 HPV types, of which 229 were previously unknown</w:t>
      </w:r>
      <w:r>
        <w:t xml:space="preserve"> </w:t>
      </w:r>
      <w:r>
        <w:t xml:space="preserve">(Bzhalava et al. 2014)</w:t>
      </w:r>
      <w:r>
        <w:t xml:space="preserve">, whereas typing here is anchored on the PaVE reference set of 455 sequences. Types with no reference genome cannot be assigned by any panel-based method, so our prevalence is a floor with respect to cutaneous diversity as well as to abundance, and the trace-level detections that resolve to a confident type (</w:t>
      </w:r>
      <w:hyperlink w:anchor="supptbl-trace">
        <w:r>
          <w:rPr>
            <w:rStyle w:val="Hyperlink"/>
          </w:rPr>
          <w:t xml:space="preserve">Table S6</w:t>
        </w:r>
      </w:hyperlink>
      <w:r>
        <w:t xml:space="preserve">) are the visible edge of a wider reservoir rather than its full extent.</w:t>
      </w:r>
    </w:p>
    <w:p>
      <w:pPr>
        <w:pStyle w:val="BodyText"/>
      </w:pPr>
      <w:r>
        <w:t xml:space="preserve">Read together, these place the 2-4% where it belongs: as the transcriptionally detectable fraction of a reservoir that is genuinely near-ubiquitous at DNA level, and not as a competing prevalence estimate. That distinction matters beyond bookkeeping, because it is the same distinction the paper draws for neoplasia. Prospective work makes the point from the DNA side: among 1,008 individuals followed after baseline skin-swab typing, beta-HPV detection predicted subsequent cutaneous SCC, yet fewer than 5% of the beta-HPV types found on a person’s skin were present in the tumour that person later developed</w:t>
      </w:r>
      <w:r>
        <w:t xml:space="preserve"> </w:t>
      </w:r>
      <w:r>
        <w:t xml:space="preserve">(Rollison et al. 2021)</w:t>
      </w:r>
      <w:r>
        <w:t xml:space="preserve">. A second cohort, in a different population and with paired sampling by site, reaches the same conclusion: across 193 samples from organ-transplant recipients and immunocompetent patients with cSCC, 65 HPV genotypes were recovered, 56 of them from eyebrow hair against 30 from the carcinomas, and genotype-specific concordance between a patient’s eyebrow hair and their own cSCC was found in 5 of 55 patients (9.1%)</w:t>
      </w:r>
      <w:r>
        <w:t xml:space="preserve"> </w:t>
      </w:r>
      <w:r>
        <w:t xml:space="preserve">(Oh et al. 2026)</w:t>
      </w:r>
      <w:r>
        <w:t xml:space="preserve">. The commensal reservoir is richer than the tumour and largely not the same virus, which is what our transcriptomic data show at population scale and from the activity side.</w:t>
      </w:r>
    </w:p>
    <w:bookmarkEnd w:id="60"/>
    <w:bookmarkStart w:id="61" w:name="X91a902f70c1d8887abf473463cc49053a4d6d2d"/>
    <w:p>
      <w:pPr>
        <w:pStyle w:val="Heading3"/>
      </w:pPr>
      <w:r>
        <w:t xml:space="preserve">Actinic keratosis, HPV8, and what a bulk transcriptome cannot see</w:t>
      </w:r>
    </w:p>
    <w:p>
      <w:pPr>
        <w:pStyle w:val="FirstParagraph"/>
      </w:pPr>
      <w:r>
        <w:t xml:space="preserve">The precursor end of the neoplasia tier deserves separate treatment, because a specific hit-and-run mechanism has been built on it. In mouse models, the HPV8 E6 protein binds p300 and phosphorylates STAT3, inducing ΔNp63 and driving proliferation and expansion of Lrig1</w:t>
      </w:r>
      <w:r>
        <w:rPr>
          <w:vertAlign w:val="superscript"/>
        </w:rPr>
        <w:t xml:space="preserve">+</w:t>
      </w:r>
      <w:r>
        <w:t xml:space="preserve"> </w:t>
      </w:r>
      <w:r>
        <w:t xml:space="preserve">hair-follicle junctional-zone keratinocyte stem cells into the overlying epidermis; HPV8 was reported in association with 70% of human actinic keratoses, and the authors frame the expansion of these melanosome-poor, UV-vulnerable stem cells as the hit-and-run mechanism itself</w:t>
      </w:r>
      <w:r>
        <w:t xml:space="preserve"> </w:t>
      </w:r>
      <w:r>
        <w:t xml:space="preserve">(Morgan et al. 2024)</w:t>
      </w:r>
      <w:r>
        <w:t xml:space="preserve">.</w:t>
      </w:r>
    </w:p>
    <w:p>
      <w:pPr>
        <w:pStyle w:val="BodyText"/>
      </w:pPr>
      <w:r>
        <w:t xml:space="preserve">On presence, we do not disagree. Trace HPV reads were recovered from 62.5% of our 72 AK libraries, which is the same order as their 70% association figure. Our result concerns what that material is doing, and the answer is the same in AK as in carcinoma: 1 of 72 AK libraries reached the productive floor.</w:t>
      </w:r>
    </w:p>
    <w:p>
      <w:pPr>
        <w:pStyle w:val="BodyText"/>
      </w:pPr>
      <w:r>
        <w:t xml:space="preserve">That is not a contradiction of their model, and is closer to a corroboration of it. A mechanism driven by E6 acting on a stem-cell compartment requires viral oncogene function, not capsid production, and a hit-and-run account predicts precisely that the virus leaves no productive footprint in the lesion it helped initiate. Our data supply the population-scale version of that prediction and find it satisfied.</w:t>
      </w:r>
    </w:p>
    <w:p>
      <w:pPr>
        <w:pStyle w:val="BodyText"/>
      </w:pPr>
      <w:r>
        <w:t xml:space="preserve">Two things we cannot settle are worth stating plainly. The first is type. We detected no HPV8 anywhere in the cohort: no library met the assignment criterion for it, and it was the best-hit reference in none of the 325 trace-level libraries, although HPV8 is present in the reference panel and other beta-1 types including HPV5 and HPV12 were recovered. Whether that reflects genuine absence of HPV8 transcription, cohort composition, or the fact that DNA association and transcript detection need not coincide, we cannot determine from RNA alone. The second is compartment. The Lrig1</w:t>
      </w:r>
      <w:r>
        <w:rPr>
          <w:vertAlign w:val="superscript"/>
        </w:rPr>
        <w:t xml:space="preserve">+</w:t>
      </w:r>
      <w:r>
        <w:t xml:space="preserve"> </w:t>
      </w:r>
      <w:r>
        <w:t xml:space="preserve">junctional zone is a follicular structure, and it is exactly the compartment that our substrate under-samples: it is what plucked eyebrow-hair-bulb assays are designed to capture and what an excision biopsy dominated by dermis and interfollicular epidermis dilutes. A focal, follicular, stem-cell-restricted reservoir is the case our design is least able to see, and the negative we report for AK should be read with that limit attached.</w:t>
      </w:r>
    </w:p>
    <w:bookmarkEnd w:id="61"/>
    <w:bookmarkStart w:id="62"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centre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centre,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operationalisation and measurement on one cohort: explicit cell-line, engineered and in-vitro annotation, study-level curation, dual breadth-and-depth typing thresholds, a control-calibrated productivity floor, and burden normalised for both depth and library chemistry, with the size of the artefact each is guarding against reported rather than asserted. That combination generalises beyond HPV.</w:t>
      </w:r>
    </w:p>
    <w:bookmarkEnd w:id="62"/>
    <w:bookmarkStart w:id="63" w:name="what-the-integration-marker-measures"/>
    <w:p>
      <w:pPr>
        <w:pStyle w:val="Heading3"/>
      </w:pPr>
      <w:r>
        <w:t xml:space="preserve">What the integration marker measures</w:t>
      </w:r>
    </w:p>
    <w:p>
      <w:pPr>
        <w:pStyle w:val="FirstParagraph"/>
      </w:pPr>
      <w:r>
        <w:t xml:space="preserve">Reading integration from the relative abundance of viral genes is not new, and the marker used here should be located against that work rather than presented as an invention. In cervical disease, the ratio of E2 to E6 is an established surrogate for physical integration status: measured on cytology specimens from 226 HPV16-positive women it falls with lesion grade, from 0.79 in both normal epithelium and CIN1 to 0.48 in CIN2/3 and 0.36 in carcinoma, discriminating CIN2 or worse with an area under the curve of 0.844, and it declines alongside L1 capsid immunoreactivity</w:t>
      </w:r>
      <w:r>
        <w:t xml:space="preserve"> </w:t>
      </w:r>
      <w:r>
        <w:t xml:space="preserve">(Choi et al. 2018)</w:t>
      </w:r>
      <w:r>
        <w:t xml:space="preserve">. The underlying biology, that the integrated fraction rises with lesion severity, is older still</w:t>
      </w:r>
      <w:r>
        <w:t xml:space="preserve"> </w:t>
      </w:r>
      <w:r>
        <w:t xml:space="preserve">(Cheung et al. 2008)</w:t>
      </w:r>
      <w:r>
        <w:t xml:space="preserve">. The step from DNA ratios to transcript ratios has also been taken: integration status in head and neck squamous carcinoma has been classified from spliced virus-host fusion transcripts and from ratios of HPV gene transcripts across 261 RNA-seq samples in five cohorts, with DNA integration events in 102 participants as ground truth</w:t>
      </w:r>
      <w:r>
        <w:t xml:space="preserve"> </w:t>
      </w:r>
      <w:r>
        <w:t xml:space="preserve">(Li et al. 2026)</w:t>
      </w:r>
      <w:r>
        <w:t xml:space="preserve">. The more general move, grading integration by its transcriptional output rather than its presence, is also established: in cervical cancer, integration sites that generate fusion transcripts behave differently from silent ones, and the productive fraction rises from carcinoma in situ to advanced disease</w:t>
      </w:r>
      <w:r>
        <w:t xml:space="preserve"> </w:t>
      </w:r>
      <w:r>
        <w:t xml:space="preserve">(Fan et al. 2023)</w:t>
      </w:r>
      <w:r>
        <w:t xml:space="preserve">. Our cervical validation series reproduces that direction from a different measurement, which is a point in its favour rather than a novelty claim. What is specific to this study is narrower than the concept: an E1 numerator against an E2 denominator taken from bulk RNA-seq read counts, applied to cutaneous beta- and gamma-types in skin, and used as a provenance check rather than a clinical classifier. Even so, a marker that only ever fired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A second and more consequential limit comes from the cervical literature that established the ratio in the first place. An E2 deficit is not specific to advanced disease: triplex quantitative PCR for E6, E2 and beta-globin indicated integration in 44.3% of histologically negative control samples in a series of 380 women, with substantial overlap between cases and controls that precluded any usable cutoff</w:t>
      </w:r>
      <w:r>
        <w:t xml:space="preserve"> </w:t>
      </w:r>
      <w:r>
        <w:t xml:space="preserve">(Boulet et al. 2009)</w:t>
      </w:r>
      <w:r>
        <w:t xml:space="preserve">, and serial sampling of women recruited soon after first intercourse showed E2 disruption to be a common and early event in incident infection, occurring within months and more often for HPV18 than HPV16</w:t>
      </w:r>
      <w:r>
        <w:t xml:space="preserve"> </w:t>
      </w:r>
      <w:r>
        <w:t xml:space="preserve">(Collins et al. 2009)</w:t>
      </w:r>
      <w:r>
        <w:t xml:space="preserve">. Our inferential chain runs from a high E1:E2 to an episomal reservoir, and that chain is only as strong as the specificity of the deficit it inverts. One difference works in our favour without settling the matter: those studies measure DNA copy-number ratios, in which a minor integrated subclone can depress the ratio while the bulk population remains episomal, whereas we measure transcript ratios, which report what the viral population is actually expressing. Whether that makes the transcript form less susceptible to the early-integration confound is a reasonable expectation rather than something demonstrated here, and until it is tested the marker should be read as evidence about the dominant transcriptional state of the reservoir, not as a proof that no integrated genome is present.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3"/>
    <w:bookmarkStart w:id="64" w:name="X561ddc580c774f0bedec4ad5adea000a1f8b051"/>
    <w:p>
      <w:pPr>
        <w:pStyle w:val="Heading3"/>
      </w:pPr>
      <w:r>
        <w:t xml:space="preserve">What a petabase catalogue does and does not measure</w:t>
      </w:r>
    </w:p>
    <w:p>
      <w:pPr>
        <w:pStyle w:val="FirstParagraph"/>
      </w:pPr>
      <w:r>
        <w:t xml:space="preserve">The DNA axis used here is a catalogue, and catalogues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catalogue because it carries a detectable L1. Three consequences follow, and together they bound what any comparison against such a resource can claim. First, presence in the catalogue means L1-detectable presence, and carries no information about the state of the viral genome. Second, the catalogue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catalogue membership, which is what the E1:E2 ratio and the virus-host junctions do above. The point generalises beyond papillomaviruses: petabase-scale surveys are now the standard way to establish that a virus is present in a body site, and a presence count from such a survey is not evidence of an active infection.</w:t>
      </w:r>
    </w:p>
    <w:bookmarkEnd w:id="64"/>
    <w:bookmarkStart w:id="65"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catalogued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tier reported here as non-productive is the one more often built with the favourable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localises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tier assignments. Fifth, typing is anchored on a fixed reference panel, and deep sequencing of skin has described 229 HPV types that had no reference genome at the time of that survey</w:t>
      </w:r>
      <w:r>
        <w:t xml:space="preserve"> </w:t>
      </w:r>
      <w:r>
        <w:t xml:space="preserve">(Bzhalava et al. 2014)</w:t>
      </w:r>
      <w:r>
        <w:t xml:space="preserve">; such types are invisible to any panel-based assignment, so our type catalogue and prevalence are bounded by the panel as well as by detection sensitivity. Sixth,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Seventh,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65"/>
    <w:bookmarkStart w:id="66"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both sequencing depth and library chemistry,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resolution of where the residual virus resides relative to mutant clones and to infiltrating T cells, linkage to host antiviral immunity in the same tissue, and interventional studies of the kind the VAXAK trial has now begun</w:t>
      </w:r>
      <w:r>
        <w:t xml:space="preserve"> </w:t>
      </w:r>
      <w:r>
        <w:t xml:space="preserve">(Wenande et al. 2025)</w:t>
      </w:r>
      <w:r>
        <w:t xml:space="preserve">. The single-cell assay is not itself the missing piece: HPV transcripts have already been resolved to basal keratinocytes, suprabasal keratinocytes and hair-follicle stem cells within a cutaneous lesion by single-cell RNA sequencing</w:t>
      </w:r>
      <w:r>
        <w:t xml:space="preserve"> </w:t>
      </w:r>
      <w:r>
        <w:t xml:space="preserve">(Devitt et al. 2019)</w:t>
      </w:r>
      <w:r>
        <w:t xml:space="preserve">. What has not been done is to apply it at cohort scale across the actinic-keratosis-to-carcinoma transition in beta- and gamma-positive lesions, which is where a shared prediction of declining activity would finally come apart into distinguishable ones. The public-archive mining framework developed here, with its contamination controls and its normalisation for both depth and library chemistry, provides a scalable foundation for identifying the cohorts worth taking to that resolution.</w:t>
      </w:r>
    </w:p>
    <w:bookmarkEnd w:id="66"/>
    <w:bookmarkEnd w:id="67"/>
    <w:bookmarkStart w:id="70"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68">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69">
        <w:r>
          <w:rPr>
            <w:rStyle w:val="Hyperlink"/>
          </w:rPr>
          <w:t xml:space="preserve">https://pave.niaid.nih.gov</w:t>
        </w:r>
      </w:hyperlink>
      <w:r>
        <w:t xml:space="preserve">) and NCBI RefSeq. No new sequencing data were generated.</w:t>
      </w:r>
    </w:p>
    <w:bookmarkEnd w:id="70"/>
    <w:bookmarkStart w:id="71" w:name="orcids"/>
    <w:p>
      <w:pPr>
        <w:pStyle w:val="Heading2"/>
      </w:pPr>
      <w:r>
        <w:t xml:space="preserve">ORCiDs</w:t>
      </w:r>
    </w:p>
    <w:p>
      <w:pPr>
        <w:pStyle w:val="FirstParagraph"/>
      </w:pPr>
      <w:r>
        <w:t xml:space="preserve">[To be completed: ORCiD for each author.]</w:t>
      </w:r>
    </w:p>
    <w:bookmarkEnd w:id="71"/>
    <w:bookmarkStart w:id="72"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72"/>
    <w:bookmarkStart w:id="73"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Centre of the University of Tartu. We thank the submitting investigators of the studies re-analysed here, whose deposition of raw sequencing data to public archives made this work possible.</w:t>
      </w:r>
    </w:p>
    <w:bookmarkEnd w:id="73"/>
    <w:bookmarkStart w:id="74"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74"/>
    <w:bookmarkStart w:id="207" w:name="references"/>
    <w:p>
      <w:pPr>
        <w:pStyle w:val="Heading2"/>
      </w:pPr>
      <w:r>
        <w:t xml:space="preserve">References</w:t>
      </w:r>
    </w:p>
    <w:bookmarkStart w:id="206" w:name="refs"/>
    <w:bookmarkStart w:id="76"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75">
        <w:r>
          <w:rPr>
            <w:rStyle w:val="Hyperlink"/>
          </w:rPr>
          <w:t xml:space="preserve">https://doi.org/10.1038/nature12064</w:t>
        </w:r>
      </w:hyperlink>
      <w:r>
        <w:t xml:space="preserve">.</w:t>
      </w:r>
    </w:p>
    <w:bookmarkEnd w:id="76"/>
    <w:bookmarkStart w:id="78"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77">
        <w:r>
          <w:rPr>
            <w:rStyle w:val="Hyperlink"/>
          </w:rPr>
          <w:t xml:space="preserve">https://doi.org/10.1128/JVI.74.24.11636-11641.2000</w:t>
        </w:r>
      </w:hyperlink>
      <w:r>
        <w:t xml:space="preserve">.</w:t>
      </w:r>
    </w:p>
    <w:bookmarkEnd w:id="78"/>
    <w:bookmarkStart w:id="80"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79">
        <w:r>
          <w:rPr>
            <w:rStyle w:val="Hyperlink"/>
          </w:rPr>
          <w:t xml:space="preserve">https://doi.org/10.1038/jid.2011.91</w:t>
        </w:r>
      </w:hyperlink>
      <w:r>
        <w:t xml:space="preserve">.</w:t>
      </w:r>
    </w:p>
    <w:bookmarkEnd w:id="80"/>
    <w:bookmarkStart w:id="82"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81">
        <w:r>
          <w:rPr>
            <w:rStyle w:val="Hyperlink"/>
          </w:rPr>
          <w:t xml:space="preserve">https://doi.org/10.1002/ijc.33683</w:t>
        </w:r>
      </w:hyperlink>
      <w:r>
        <w:t xml:space="preserve">.</w:t>
      </w:r>
    </w:p>
    <w:bookmarkEnd w:id="82"/>
    <w:bookmarkStart w:id="84"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83">
        <w:r>
          <w:rPr>
            <w:rStyle w:val="Hyperlink"/>
          </w:rPr>
          <w:t xml:space="preserve">https://doi.org/10.1016/j.cmi.2019.04.028</w:t>
        </w:r>
      </w:hyperlink>
      <w:r>
        <w:t xml:space="preserve">.</w:t>
      </w:r>
    </w:p>
    <w:bookmarkEnd w:id="84"/>
    <w:bookmarkStart w:id="86"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85">
        <w:r>
          <w:rPr>
            <w:rStyle w:val="Hyperlink"/>
          </w:rPr>
          <w:t xml:space="preserve">https://doi.org/10.1152/physiolgenomics.00093.2024</w:t>
        </w:r>
      </w:hyperlink>
      <w:r>
        <w:t xml:space="preserve">.</w:t>
      </w:r>
    </w:p>
    <w:bookmarkEnd w:id="86"/>
    <w:bookmarkStart w:id="87"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87"/>
    <w:bookmarkStart w:id="89"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88">
        <w:r>
          <w:rPr>
            <w:rStyle w:val="Hyperlink"/>
          </w:rPr>
          <w:t xml:space="preserve">https://doi.org/10.3389/fmicb.2018.00117</w:t>
        </w:r>
      </w:hyperlink>
      <w:r>
        <w:t xml:space="preserve">.</w:t>
      </w:r>
    </w:p>
    <w:bookmarkEnd w:id="89"/>
    <w:bookmarkStart w:id="91" w:name="ref-boulet2009"/>
    <w:p>
      <w:pPr>
        <w:pStyle w:val="Bibliography"/>
      </w:pPr>
      <w:r>
        <w:t xml:space="preserve">Boulet, Gaëlle A. V., Ina H. Benoy, Christophe E. Depuydt, Caroline A. J. Horvath, Marc Aerts, Niel Hens, Annie J. Vereecken, and Johannes J. Bogers. 2009.</w:t>
      </w:r>
      <w:r>
        <w:t xml:space="preserve"> </w:t>
      </w:r>
      <w:r>
        <w:t xml:space="preserve">“Human Papillomavirus 16 Load and</w:t>
      </w:r>
      <w:r>
        <w:t xml:space="preserve"> </w:t>
      </w:r>
      <w:r>
        <w:t xml:space="preserve">E2/E6</w:t>
      </w:r>
      <w:r>
        <w:t xml:space="preserve"> </w:t>
      </w:r>
      <w:r>
        <w:t xml:space="preserve">Ratio in</w:t>
      </w:r>
      <w:r>
        <w:t xml:space="preserve"> </w:t>
      </w:r>
      <w:r>
        <w:t xml:space="preserve">HPV16</w:t>
      </w:r>
      <w:r>
        <w:t xml:space="preserve">-Positive Women: Biomarkers for Cervical Intraepithelial Neoplasia</w:t>
      </w:r>
      <w:r>
        <w:t xml:space="preserve"> </w:t>
      </w:r>
      <m:oMath>
        <m:r>
          <m:rPr>
            <m:sty m:val="p"/>
          </m:rPr>
          <m:t>≥</m:t>
        </m:r>
      </m:oMath>
      <w:r>
        <w:t xml:space="preserve">2 in a Liquid-Based Cytology Setting?”</w:t>
      </w:r>
      <w:r>
        <w:t xml:space="preserve"> </w:t>
      </w:r>
      <w:r>
        <w:rPr>
          <w:i/>
          <w:iCs/>
        </w:rPr>
        <w:t xml:space="preserve">Cancer Epidemiology, Biomarkers &amp; Prevention</w:t>
      </w:r>
      <w:r>
        <w:t xml:space="preserve"> </w:t>
      </w:r>
      <w:r>
        <w:t xml:space="preserve">18 (11): 2992–99.</w:t>
      </w:r>
      <w:r>
        <w:t xml:space="preserve"> </w:t>
      </w:r>
      <w:hyperlink r:id="rId90">
        <w:r>
          <w:rPr>
            <w:rStyle w:val="Hyperlink"/>
          </w:rPr>
          <w:t xml:space="preserve">https://doi.org/10.1158/1055-9965.EPI-09-0025</w:t>
        </w:r>
      </w:hyperlink>
      <w:r>
        <w:t xml:space="preserve">.</w:t>
      </w:r>
    </w:p>
    <w:bookmarkEnd w:id="91"/>
    <w:bookmarkStart w:id="93"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92">
        <w:r>
          <w:rPr>
            <w:rStyle w:val="Hyperlink"/>
          </w:rPr>
          <w:t xml:space="preserve">https://doi.org/10.1038/srep05807</w:t>
        </w:r>
      </w:hyperlink>
      <w:r>
        <w:t xml:space="preserve">.</w:t>
      </w:r>
    </w:p>
    <w:bookmarkEnd w:id="93"/>
    <w:bookmarkStart w:id="94"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94"/>
    <w:bookmarkStart w:id="96"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95">
        <w:r>
          <w:rPr>
            <w:rStyle w:val="Hyperlink"/>
          </w:rPr>
          <w:t xml:space="preserve">https://doi.org/10.1128/JVI.03365-14</w:t>
        </w:r>
      </w:hyperlink>
      <w:r>
        <w:t xml:space="preserve">.</w:t>
      </w:r>
    </w:p>
    <w:bookmarkEnd w:id="96"/>
    <w:bookmarkStart w:id="98"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97">
        <w:r>
          <w:rPr>
            <w:rStyle w:val="Hyperlink"/>
          </w:rPr>
          <w:t xml:space="preserve">https://doi.org/10.1016/j.coviro.2019.07.010</w:t>
        </w:r>
      </w:hyperlink>
      <w:r>
        <w:t xml:space="preserve">.</w:t>
      </w:r>
    </w:p>
    <w:bookmarkEnd w:id="98"/>
    <w:bookmarkStart w:id="100"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99">
        <w:r>
          <w:rPr>
            <w:rStyle w:val="Hyperlink"/>
          </w:rPr>
          <w:t xml:space="preserve">https://doi.org/10.1093/bioinformatics/bty560</w:t>
        </w:r>
      </w:hyperlink>
      <w:r>
        <w:t xml:space="preserve">.</w:t>
      </w:r>
    </w:p>
    <w:bookmarkEnd w:id="100"/>
    <w:bookmarkStart w:id="102" w:name="ref-cheung2008"/>
    <w:p>
      <w:pPr>
        <w:pStyle w:val="Bibliography"/>
      </w:pPr>
      <w:r>
        <w:t xml:space="preserve">Cheung, Jo L. K., T. H. Cheung, Julian W. T. Tang, and Paul K. S. Chan. 2008.</w:t>
      </w:r>
      <w:r>
        <w:t xml:space="preserve"> </w:t>
      </w:r>
      <w:r>
        <w:t xml:space="preserve">“Increase of Integration Events and Infection Loads of Human Papillomavirus Type 52 with Lesion Severity from Low-Grade Cervical Lesion to Invasive Cancer.”</w:t>
      </w:r>
      <w:r>
        <w:t xml:space="preserve"> </w:t>
      </w:r>
      <w:r>
        <w:rPr>
          <w:i/>
          <w:iCs/>
        </w:rPr>
        <w:t xml:space="preserve">Journal of Clinical Microbiology</w:t>
      </w:r>
      <w:r>
        <w:t xml:space="preserve"> </w:t>
      </w:r>
      <w:r>
        <w:t xml:space="preserve">46 (4): 1356–62.</w:t>
      </w:r>
      <w:r>
        <w:t xml:space="preserve"> </w:t>
      </w:r>
      <w:hyperlink r:id="rId101">
        <w:r>
          <w:rPr>
            <w:rStyle w:val="Hyperlink"/>
          </w:rPr>
          <w:t xml:space="preserve">https://doi.org/10.1128/JCM.01785-07</w:t>
        </w:r>
      </w:hyperlink>
      <w:r>
        <w:t xml:space="preserve">.</w:t>
      </w:r>
    </w:p>
    <w:bookmarkEnd w:id="102"/>
    <w:bookmarkStart w:id="104"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103">
        <w:r>
          <w:rPr>
            <w:rStyle w:val="Hyperlink"/>
          </w:rPr>
          <w:t xml:space="preserve">https://doi.org/10.1101/2024.07.30.605881</w:t>
        </w:r>
      </w:hyperlink>
      <w:r>
        <w:t xml:space="preserve">.</w:t>
      </w:r>
    </w:p>
    <w:bookmarkEnd w:id="104"/>
    <w:bookmarkStart w:id="106" w:name="ref-choi2018"/>
    <w:p>
      <w:pPr>
        <w:pStyle w:val="Bibliography"/>
      </w:pPr>
      <w:r>
        <w:t xml:space="preserve">Choi, Youn Jin, Ahwon Lee, Tae Jung Kim, Hyun Tak Jin, Yong Bok Seo, Jong Sup Park, and Sung Jong Lee. 2018.</w:t>
      </w:r>
      <w:r>
        <w:t xml:space="preserve"> </w:t>
      </w:r>
      <w:r>
        <w:t xml:space="preserve">“</w:t>
      </w:r>
      <w:r>
        <w:t xml:space="preserve">E2/E6</w:t>
      </w:r>
      <w:r>
        <w:t xml:space="preserve"> </w:t>
      </w:r>
      <w:r>
        <w:t xml:space="preserve">Ratio and</w:t>
      </w:r>
      <w:r>
        <w:t xml:space="preserve"> </w:t>
      </w:r>
      <w:r>
        <w:t xml:space="preserve">L1</w:t>
      </w:r>
      <w:r>
        <w:t xml:space="preserve"> </w:t>
      </w:r>
      <w:r>
        <w:t xml:space="preserve">Immunoreactivity as Biomarkers to Determine</w:t>
      </w:r>
      <w:r>
        <w:t xml:space="preserve"> </w:t>
      </w:r>
      <w:r>
        <w:t xml:space="preserve">HPV16</w:t>
      </w:r>
      <w:r>
        <w:t xml:space="preserve">-Positive High-Grade Squamous Intraepithelial Lesions (</w:t>
      </w:r>
      <w:r>
        <w:t xml:space="preserve">CIN2</w:t>
      </w:r>
      <w:r>
        <w:t xml:space="preserve"> </w:t>
      </w:r>
      <w:r>
        <w:t xml:space="preserve">and 3) and Cervical Squamous Cell Carcinoma.”</w:t>
      </w:r>
      <w:r>
        <w:t xml:space="preserve"> </w:t>
      </w:r>
      <w:r>
        <w:rPr>
          <w:i/>
          <w:iCs/>
        </w:rPr>
        <w:t xml:space="preserve">Journal of Gynecologic Oncology</w:t>
      </w:r>
      <w:r>
        <w:t xml:space="preserve"> </w:t>
      </w:r>
      <w:r>
        <w:t xml:space="preserve">29 (3): e38.</w:t>
      </w:r>
      <w:r>
        <w:t xml:space="preserve"> </w:t>
      </w:r>
      <w:hyperlink r:id="rId105">
        <w:r>
          <w:rPr>
            <w:rStyle w:val="Hyperlink"/>
          </w:rPr>
          <w:t xml:space="preserve">https://doi.org/10.3802/jgo.2018.29.e38</w:t>
        </w:r>
      </w:hyperlink>
      <w:r>
        <w:t xml:space="preserve">.</w:t>
      </w:r>
    </w:p>
    <w:bookmarkEnd w:id="106"/>
    <w:bookmarkStart w:id="108" w:name="ref-collins2009"/>
    <w:p>
      <w:pPr>
        <w:pStyle w:val="Bibliography"/>
      </w:pPr>
      <w:r>
        <w:t xml:space="preserve">Collins, Stuart I., Christothea Constandinou-Williams, Kaisheng Wen, Lawrence S. Young, Sally Roberts, Paul G. Murray, and Ciaran B. J. Woodman. 2009.</w:t>
      </w:r>
      <w:r>
        <w:t xml:space="preserve"> </w:t>
      </w:r>
      <w:r>
        <w:t xml:space="preserve">“Disruption of the</w:t>
      </w:r>
      <w:r>
        <w:t xml:space="preserve"> </w:t>
      </w:r>
      <w:r>
        <w:t xml:space="preserve">E2</w:t>
      </w:r>
      <w:r>
        <w:t xml:space="preserve"> </w:t>
      </w:r>
      <w:r>
        <w:t xml:space="preserve">Gene Is a Common and Early Event in the Natural History of Cervical Human Papillomavirus Infection: A Longitudinal Cohort Study.”</w:t>
      </w:r>
      <w:r>
        <w:t xml:space="preserve"> </w:t>
      </w:r>
      <w:r>
        <w:rPr>
          <w:i/>
          <w:iCs/>
        </w:rPr>
        <w:t xml:space="preserve">Cancer Research</w:t>
      </w:r>
      <w:r>
        <w:t xml:space="preserve"> </w:t>
      </w:r>
      <w:r>
        <w:t xml:space="preserve">69 (9): 3828–32.</w:t>
      </w:r>
      <w:r>
        <w:t xml:space="preserve"> </w:t>
      </w:r>
      <w:hyperlink r:id="rId107">
        <w:r>
          <w:rPr>
            <w:rStyle w:val="Hyperlink"/>
          </w:rPr>
          <w:t xml:space="preserve">https://doi.org/10.1158/0008-5472.CAN-08-3099</w:t>
        </w:r>
      </w:hyperlink>
      <w:r>
        <w:t xml:space="preserve">.</w:t>
      </w:r>
    </w:p>
    <w:bookmarkEnd w:id="108"/>
    <w:bookmarkStart w:id="110"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109">
        <w:r>
          <w:rPr>
            <w:rStyle w:val="Hyperlink"/>
          </w:rPr>
          <w:t xml:space="preserve">https://doi.org/10.1093/gigascience/giab008</w:t>
        </w:r>
      </w:hyperlink>
      <w:r>
        <w:t xml:space="preserve">.</w:t>
      </w:r>
    </w:p>
    <w:bookmarkEnd w:id="110"/>
    <w:bookmarkStart w:id="112"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111">
        <w:r>
          <w:rPr>
            <w:rStyle w:val="Hyperlink"/>
          </w:rPr>
          <w:t xml:space="preserve">https://doi.org/10.1016/j.virol.2019.08.007</w:t>
        </w:r>
      </w:hyperlink>
      <w:r>
        <w:t xml:space="preserve">.</w:t>
      </w:r>
    </w:p>
    <w:bookmarkEnd w:id="112"/>
    <w:bookmarkStart w:id="114"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113">
        <w:r>
          <w:rPr>
            <w:rStyle w:val="Hyperlink"/>
          </w:rPr>
          <w:t xml:space="preserve">https://doi.org/10.1038/nbt.3820</w:t>
        </w:r>
      </w:hyperlink>
      <w:r>
        <w:t xml:space="preserve">.</w:t>
      </w:r>
    </w:p>
    <w:bookmarkEnd w:id="114"/>
    <w:bookmarkStart w:id="116"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15">
        <w:r>
          <w:rPr>
            <w:rStyle w:val="Hyperlink"/>
          </w:rPr>
          <w:t xml:space="preserve">https://doi.org/10.1093/bioinformatics/bts635</w:t>
        </w:r>
      </w:hyperlink>
      <w:r>
        <w:t xml:space="preserve">.</w:t>
      </w:r>
    </w:p>
    <w:bookmarkEnd w:id="116"/>
    <w:bookmarkStart w:id="117"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17"/>
    <w:bookmarkStart w:id="118"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118"/>
    <w:bookmarkStart w:id="119"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19"/>
    <w:bookmarkStart w:id="121"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20">
        <w:r>
          <w:rPr>
            <w:rStyle w:val="Hyperlink"/>
          </w:rPr>
          <w:t xml:space="preserve">https://doi.org/10.1038/s41586-021-04332-2</w:t>
        </w:r>
      </w:hyperlink>
      <w:r>
        <w:t xml:space="preserve">.</w:t>
      </w:r>
    </w:p>
    <w:bookmarkEnd w:id="121"/>
    <w:bookmarkStart w:id="122"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22"/>
    <w:bookmarkStart w:id="124" w:name="ref-fan2023"/>
    <w:p>
      <w:pPr>
        <w:pStyle w:val="Bibliography"/>
      </w:pPr>
      <w:r>
        <w:t xml:space="preserve">Fan, Junpeng, Yu Fu, Wenju Peng, Xiong Li, Yuanming Shen, Ensong Guo, Funian Lu, et al. 2023.</w:t>
      </w:r>
      <w:r>
        <w:t xml:space="preserve"> </w:t>
      </w:r>
      <w:r>
        <w:t xml:space="preserve">“Multi-Omics Characterization of Silent and Productive</w:t>
      </w:r>
      <w:r>
        <w:t xml:space="preserve"> </w:t>
      </w:r>
      <w:r>
        <w:t xml:space="preserve">HPV</w:t>
      </w:r>
      <w:r>
        <w:t xml:space="preserve"> </w:t>
      </w:r>
      <w:r>
        <w:t xml:space="preserve">Integration in Cervical Cancer.”</w:t>
      </w:r>
      <w:r>
        <w:t xml:space="preserve"> </w:t>
      </w:r>
      <w:r>
        <w:rPr>
          <w:i/>
          <w:iCs/>
        </w:rPr>
        <w:t xml:space="preserve">Cell Genomics</w:t>
      </w:r>
      <w:r>
        <w:t xml:space="preserve"> </w:t>
      </w:r>
      <w:r>
        <w:t xml:space="preserve">3 (1): 100211.</w:t>
      </w:r>
      <w:r>
        <w:t xml:space="preserve"> </w:t>
      </w:r>
      <w:hyperlink r:id="rId123">
        <w:r>
          <w:rPr>
            <w:rStyle w:val="Hyperlink"/>
          </w:rPr>
          <w:t xml:space="preserve">https://doi.org/10.1016/j.xgen.2022.100211</w:t>
        </w:r>
      </w:hyperlink>
      <w:r>
        <w:t xml:space="preserve">.</w:t>
      </w:r>
    </w:p>
    <w:bookmarkEnd w:id="124"/>
    <w:bookmarkStart w:id="125"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25"/>
    <w:bookmarkStart w:id="127"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26">
        <w:r>
          <w:rPr>
            <w:rStyle w:val="Hyperlink"/>
          </w:rPr>
          <w:t xml:space="preserve">https://doi.org/10.1097/DAD.0000000000001289</w:t>
        </w:r>
      </w:hyperlink>
      <w:r>
        <w:t xml:space="preserve">.</w:t>
      </w:r>
    </w:p>
    <w:bookmarkEnd w:id="127"/>
    <w:bookmarkStart w:id="129"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28">
        <w:r>
          <w:rPr>
            <w:rStyle w:val="Hyperlink"/>
          </w:rPr>
          <w:t xml:space="preserve">https://doi.org/10.1128/mbio.01607-23</w:t>
        </w:r>
      </w:hyperlink>
      <w:r>
        <w:t xml:space="preserve">.</w:t>
      </w:r>
    </w:p>
    <w:bookmarkEnd w:id="129"/>
    <w:bookmarkStart w:id="131"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30">
        <w:r>
          <w:rPr>
            <w:rStyle w:val="Hyperlink"/>
          </w:rPr>
          <w:t xml:space="preserve">https://mc-stan.org/rstanarm/</w:t>
        </w:r>
      </w:hyperlink>
      <w:r>
        <w:t xml:space="preserve">.</w:t>
      </w:r>
    </w:p>
    <w:bookmarkEnd w:id="131"/>
    <w:bookmarkStart w:id="132"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32"/>
    <w:bookmarkStart w:id="133"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33"/>
    <w:bookmarkStart w:id="135"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34">
        <w:r>
          <w:rPr>
            <w:rStyle w:val="Hyperlink"/>
          </w:rPr>
          <w:t xml:space="preserve">https://doi.org/10.1371/journal.pone.0217942</w:t>
        </w:r>
      </w:hyperlink>
      <w:r>
        <w:t xml:space="preserve">.</w:t>
      </w:r>
    </w:p>
    <w:bookmarkEnd w:id="135"/>
    <w:bookmarkStart w:id="136"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36"/>
    <w:bookmarkStart w:id="138"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37">
        <w:r>
          <w:rPr>
            <w:rStyle w:val="Hyperlink"/>
          </w:rPr>
          <w:t xml:space="preserve">https://doi.org/10.1084/jem.20170308</w:t>
        </w:r>
      </w:hyperlink>
      <w:r>
        <w:t xml:space="preserve">.</w:t>
      </w:r>
    </w:p>
    <w:bookmarkEnd w:id="138"/>
    <w:bookmarkStart w:id="139"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39"/>
    <w:bookmarkStart w:id="141"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40">
        <w:r>
          <w:rPr>
            <w:rStyle w:val="Hyperlink"/>
          </w:rPr>
          <w:t xml:space="preserve">https://doi.org/10.1128/JVI.00822-15</w:t>
        </w:r>
      </w:hyperlink>
      <w:r>
        <w:t xml:space="preserve">.</w:t>
      </w:r>
    </w:p>
    <w:bookmarkEnd w:id="141"/>
    <w:bookmarkStart w:id="142"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42"/>
    <w:bookmarkStart w:id="144"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43">
        <w:r>
          <w:rPr>
            <w:rStyle w:val="Hyperlink"/>
          </w:rPr>
          <w:t xml:space="preserve">https://doi.org/10.1038/s41586-020-3023-0</w:t>
        </w:r>
      </w:hyperlink>
      <w:r>
        <w:t xml:space="preserve">.</w:t>
      </w:r>
    </w:p>
    <w:bookmarkEnd w:id="144"/>
    <w:bookmarkStart w:id="145"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45"/>
    <w:bookmarkStart w:id="147"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46">
        <w:r>
          <w:rPr>
            <w:rStyle w:val="Hyperlink"/>
          </w:rPr>
          <w:t xml:space="preserve">https://doi.org/10.1158/2159-8290.CD-22-0489</w:t>
        </w:r>
      </w:hyperlink>
      <w:r>
        <w:t xml:space="preserve">.</w:t>
      </w:r>
    </w:p>
    <w:bookmarkEnd w:id="147"/>
    <w:bookmarkStart w:id="149"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48">
        <w:r>
          <w:rPr>
            <w:rStyle w:val="Hyperlink"/>
          </w:rPr>
          <w:t xml:space="preserve">https://doi.org/10.1093/nar/gkq1019</w:t>
        </w:r>
      </w:hyperlink>
      <w:r>
        <w:t xml:space="preserve">.</w:t>
      </w:r>
    </w:p>
    <w:bookmarkEnd w:id="149"/>
    <w:bookmarkStart w:id="151" w:name="ref-li2026"/>
    <w:p>
      <w:pPr>
        <w:pStyle w:val="Bibliography"/>
      </w:pPr>
      <w:r>
        <w:t xml:space="preserve">Li, Shiting, Shaomiao Xia, Maria Lawas, Aishani Kulshreshtha, Bailey F. Garb, Sarah E. Soppe, Chamila Perera, et al. 2026.</w:t>
      </w:r>
      <w:r>
        <w:t xml:space="preserve"> </w:t>
      </w:r>
      <w:r>
        <w:t xml:space="preserve">“</w:t>
      </w:r>
      <w:r>
        <w:t xml:space="preserve">HPV</w:t>
      </w:r>
      <w:r>
        <w:t xml:space="preserve"> </w:t>
      </w:r>
      <w:r>
        <w:t xml:space="preserve">Integration in Head and Neck Cancer: Downstream Splicing Events and Expression Ratios Linked with Poor Outcomes.”</w:t>
      </w:r>
      <w:r>
        <w:t xml:space="preserve"> </w:t>
      </w:r>
      <w:r>
        <w:rPr>
          <w:i/>
          <w:iCs/>
        </w:rPr>
        <w:t xml:space="preserve">Clinical Cancer Research</w:t>
      </w:r>
      <w:r>
        <w:t xml:space="preserve"> </w:t>
      </w:r>
      <w:r>
        <w:t xml:space="preserve">32 (3): 581–95.</w:t>
      </w:r>
      <w:r>
        <w:t xml:space="preserve"> </w:t>
      </w:r>
      <w:hyperlink r:id="rId150">
        <w:r>
          <w:rPr>
            <w:rStyle w:val="Hyperlink"/>
          </w:rPr>
          <w:t xml:space="preserve">https://doi.org/10.1158/1078-0432.CCR-25-0645</w:t>
        </w:r>
      </w:hyperlink>
      <w:r>
        <w:t xml:space="preserve">.</w:t>
      </w:r>
    </w:p>
    <w:bookmarkEnd w:id="151"/>
    <w:bookmarkStart w:id="153"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52">
        <w:r>
          <w:rPr>
            <w:rStyle w:val="Hyperlink"/>
          </w:rPr>
          <w:t xml:space="preserve">https://doi.org/10.1093/bioinformatics/btt656</w:t>
        </w:r>
      </w:hyperlink>
      <w:r>
        <w:t xml:space="preserve">.</w:t>
      </w:r>
    </w:p>
    <w:bookmarkEnd w:id="153"/>
    <w:bookmarkStart w:id="155"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54">
        <w:r>
          <w:rPr>
            <w:rStyle w:val="Hyperlink"/>
          </w:rPr>
          <w:t xml:space="preserve">https://doi.org/10.1128/JVI.00093-14</w:t>
        </w:r>
      </w:hyperlink>
      <w:r>
        <w:t xml:space="preserve">.</w:t>
      </w:r>
    </w:p>
    <w:bookmarkEnd w:id="155"/>
    <w:bookmarkStart w:id="156"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56"/>
    <w:bookmarkStart w:id="157"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57"/>
    <w:bookmarkStart w:id="159"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58">
        <w:r>
          <w:rPr>
            <w:rStyle w:val="Hyperlink"/>
          </w:rPr>
          <w:t xml:space="preserve">https://doi.org/10.1172/jci.insight.177898</w:t>
        </w:r>
      </w:hyperlink>
      <w:r>
        <w:t xml:space="preserve">.</w:t>
      </w:r>
    </w:p>
    <w:bookmarkEnd w:id="159"/>
    <w:bookmarkStart w:id="160"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60"/>
    <w:bookmarkStart w:id="162"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61">
        <w:r>
          <w:rPr>
            <w:rStyle w:val="Hyperlink"/>
          </w:rPr>
          <w:t xml:space="preserve">https://doi.org/10.1001/jamadermatol.2026.0308</w:t>
        </w:r>
      </w:hyperlink>
      <w:r>
        <w:t xml:space="preserve">.</w:t>
      </w:r>
    </w:p>
    <w:bookmarkEnd w:id="162"/>
    <w:bookmarkStart w:id="163"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63"/>
    <w:bookmarkStart w:id="165"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64">
        <w:r>
          <w:rPr>
            <w:rStyle w:val="Hyperlink"/>
          </w:rPr>
          <w:t xml:space="preserve">https://doi.org/10.1111/j.0022-202X.2005.23635.x</w:t>
        </w:r>
      </w:hyperlink>
      <w:r>
        <w:t xml:space="preserve">.</w:t>
      </w:r>
    </w:p>
    <w:bookmarkEnd w:id="165"/>
    <w:bookmarkStart w:id="167"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66">
        <w:r>
          <w:rPr>
            <w:rStyle w:val="Hyperlink"/>
          </w:rPr>
          <w:t xml:space="preserve">https://doi.org/10.1038/ng1044</w:t>
        </w:r>
      </w:hyperlink>
      <w:r>
        <w:t xml:space="preserve">.</w:t>
      </w:r>
    </w:p>
    <w:bookmarkEnd w:id="167"/>
    <w:bookmarkStart w:id="169"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68">
        <w:r>
          <w:rPr>
            <w:rStyle w:val="Hyperlink"/>
          </w:rPr>
          <w:t xml:space="preserve">https://doi.org/10.1073/pnas.2118930119</w:t>
        </w:r>
      </w:hyperlink>
      <w:r>
        <w:t xml:space="preserve">.</w:t>
      </w:r>
    </w:p>
    <w:bookmarkEnd w:id="169"/>
    <w:bookmarkStart w:id="171"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70">
        <w:r>
          <w:rPr>
            <w:rStyle w:val="Hyperlink"/>
          </w:rPr>
          <w:t xml:space="preserve">https://doi.org/10.1158/0008-5472.CAN-21-0805</w:t>
        </w:r>
      </w:hyperlink>
      <w:r>
        <w:t xml:space="preserve">.</w:t>
      </w:r>
    </w:p>
    <w:bookmarkEnd w:id="171"/>
    <w:bookmarkStart w:id="173"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72">
        <w:r>
          <w:rPr>
            <w:rStyle w:val="Hyperlink"/>
          </w:rPr>
          <w:t xml:space="preserve">https://doi.org/10.1093/infdis/jiy577</w:t>
        </w:r>
      </w:hyperlink>
      <w:r>
        <w:t xml:space="preserve">.</w:t>
      </w:r>
    </w:p>
    <w:bookmarkEnd w:id="173"/>
    <w:bookmarkStart w:id="175"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74">
        <w:r>
          <w:rPr>
            <w:rStyle w:val="Hyperlink"/>
          </w:rPr>
          <w:t xml:space="preserve">https://doi.org/10.1128/JVI.01003-18</w:t>
        </w:r>
      </w:hyperlink>
      <w:r>
        <w:t xml:space="preserve">.</w:t>
      </w:r>
    </w:p>
    <w:bookmarkEnd w:id="175"/>
    <w:bookmarkStart w:id="177"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76">
        <w:r>
          <w:rPr>
            <w:rStyle w:val="Hyperlink"/>
          </w:rPr>
          <w:t xml:space="preserve">https://doi.org/10.1172/jci.insight.162558</w:t>
        </w:r>
      </w:hyperlink>
      <w:r>
        <w:t xml:space="preserve">.</w:t>
      </w:r>
    </w:p>
    <w:bookmarkEnd w:id="177"/>
    <w:bookmarkStart w:id="179"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78">
        <w:r>
          <w:rPr>
            <w:rStyle w:val="Hyperlink"/>
          </w:rPr>
          <w:t xml:space="preserve">https://doi.org/10.1186/s12864-020-6483-6</w:t>
        </w:r>
      </w:hyperlink>
      <w:r>
        <w:t xml:space="preserve">.</w:t>
      </w:r>
    </w:p>
    <w:bookmarkEnd w:id="179"/>
    <w:bookmarkStart w:id="181"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80">
        <w:r>
          <w:rPr>
            <w:rStyle w:val="Hyperlink"/>
          </w:rPr>
          <w:t xml:space="preserve">https://doi.org/10.64898/2026.04.21.719858</w:t>
        </w:r>
      </w:hyperlink>
      <w:r>
        <w:t xml:space="preserve">.</w:t>
      </w:r>
    </w:p>
    <w:bookmarkEnd w:id="181"/>
    <w:bookmarkStart w:id="183"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82">
        <w:r>
          <w:rPr>
            <w:rStyle w:val="Hyperlink"/>
          </w:rPr>
          <w:t xml:space="preserve">https://doi.org/10.1371/journal.pone.0163962</w:t>
        </w:r>
      </w:hyperlink>
      <w:r>
        <w:t xml:space="preserve">.</w:t>
      </w:r>
    </w:p>
    <w:bookmarkEnd w:id="183"/>
    <w:bookmarkStart w:id="185"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84">
        <w:r>
          <w:rPr>
            <w:rStyle w:val="Hyperlink"/>
          </w:rPr>
          <w:t xml:space="preserve">https://doi.org/10.1016/j.ccell.2024.11.013</w:t>
        </w:r>
      </w:hyperlink>
      <w:r>
        <w:t xml:space="preserve">.</w:t>
      </w:r>
    </w:p>
    <w:bookmarkEnd w:id="185"/>
    <w:bookmarkStart w:id="187"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86">
        <w:r>
          <w:rPr>
            <w:rStyle w:val="Hyperlink"/>
          </w:rPr>
          <w:t xml:space="preserve">https://doi.org/10.1038/s41586-019-1719-9</w:t>
        </w:r>
      </w:hyperlink>
      <w:r>
        <w:t xml:space="preserve">.</w:t>
      </w:r>
    </w:p>
    <w:bookmarkEnd w:id="187"/>
    <w:bookmarkStart w:id="189"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88">
        <w:r>
          <w:rPr>
            <w:rStyle w:val="Hyperlink"/>
          </w:rPr>
          <w:t xml:space="preserve">https://doi.org/10.1038/s41586-020-3024-z</w:t>
        </w:r>
      </w:hyperlink>
      <w:r>
        <w:t xml:space="preserve">.</w:t>
      </w:r>
    </w:p>
    <w:bookmarkEnd w:id="189"/>
    <w:bookmarkStart w:id="190"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90"/>
    <w:bookmarkStart w:id="192"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91">
        <w:r>
          <w:rPr>
            <w:rStyle w:val="Hyperlink"/>
          </w:rPr>
          <w:t xml:space="preserve">https://doi.org/10.1093/nar/gkw879</w:t>
        </w:r>
      </w:hyperlink>
      <w:r>
        <w:t xml:space="preserve">.</w:t>
      </w:r>
    </w:p>
    <w:bookmarkEnd w:id="192"/>
    <w:bookmarkStart w:id="194"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93">
        <w:r>
          <w:rPr>
            <w:rStyle w:val="Hyperlink"/>
          </w:rPr>
          <w:t xml:space="preserve">https://doi.org/10.1111/exd.14385</w:t>
        </w:r>
      </w:hyperlink>
      <w:r>
        <w:t xml:space="preserve">.</w:t>
      </w:r>
    </w:p>
    <w:bookmarkEnd w:id="194"/>
    <w:bookmarkStart w:id="196"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95">
        <w:r>
          <w:rPr>
            <w:rStyle w:val="Hyperlink"/>
          </w:rPr>
          <w:t xml:space="preserve">https://doi.org/10.1371/journal.ppat.1006783</w:t>
        </w:r>
      </w:hyperlink>
      <w:r>
        <w:t xml:space="preserve">.</w:t>
      </w:r>
    </w:p>
    <w:bookmarkEnd w:id="196"/>
    <w:bookmarkStart w:id="197"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97"/>
    <w:bookmarkStart w:id="198"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98"/>
    <w:bookmarkStart w:id="20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99">
        <w:r>
          <w:rPr>
            <w:rStyle w:val="Hyperlink"/>
          </w:rPr>
          <w:t xml:space="preserve">https://doi.org/10.1007/s00430-011-0212-3</w:t>
        </w:r>
      </w:hyperlink>
      <w:r>
        <w:t xml:space="preserve">.</w:t>
      </w:r>
    </w:p>
    <w:bookmarkEnd w:id="200"/>
    <w:bookmarkStart w:id="20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201">
        <w:r>
          <w:rPr>
            <w:rStyle w:val="Hyperlink"/>
          </w:rPr>
          <w:t xml:space="preserve">https://doi.org/10.1001/jamadermatol.2025.0531</w:t>
        </w:r>
      </w:hyperlink>
      <w:r>
        <w:t xml:space="preserve">.</w:t>
      </w:r>
    </w:p>
    <w:bookmarkEnd w:id="202"/>
    <w:bookmarkStart w:id="20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203">
        <w:r>
          <w:rPr>
            <w:rStyle w:val="Hyperlink"/>
          </w:rPr>
          <w:t xml:space="preserve">https://doi.org/10.1186/s13059-019-1891-0</w:t>
        </w:r>
      </w:hyperlink>
      <w:r>
        <w:t xml:space="preserve">.</w:t>
      </w:r>
    </w:p>
    <w:bookmarkEnd w:id="204"/>
    <w:bookmarkStart w:id="205"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205"/>
    <w:bookmarkEnd w:id="206"/>
    <w:bookmarkEnd w:id="207"/>
    <w:bookmarkStart w:id="225"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211" w:name="suppfig-depth"/>
          <w:p>
            <w:pPr>
              <w:pStyle w:val="Compact"/>
              <w:jc w:val="center"/>
            </w:pPr>
            <w:r>
              <w:drawing>
                <wp:inline>
                  <wp:extent cx="5943600" cy="3714749"/>
                  <wp:effectExtent b="0" l="0" r="0" t="0"/>
                  <wp:docPr descr="" title="" id="209" name="Picture"/>
                  <a:graphic>
                    <a:graphicData uri="http://schemas.openxmlformats.org/drawingml/2006/picture">
                      <pic:pic>
                        <pic:nvPicPr>
                          <pic:cNvPr descr="figureS1.png" id="210" name="Picture"/>
                          <pic:cNvPicPr>
                            <a:picLocks noChangeArrowheads="1" noChangeAspect="1"/>
                          </pic:cNvPicPr>
                        </pic:nvPicPr>
                        <pic:blipFill>
                          <a:blip r:embed="rId208"/>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21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2"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2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3"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1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4"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21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5"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1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6"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21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7"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1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1" w:name="suppfig-types"/>
          <w:p>
            <w:pPr>
              <w:pStyle w:val="Compact"/>
              <w:jc w:val="center"/>
            </w:pPr>
            <w:r>
              <w:drawing>
                <wp:inline>
                  <wp:extent cx="5943600" cy="2729653"/>
                  <wp:effectExtent b="0" l="0" r="0" t="0"/>
                  <wp:docPr descr="" title="" id="219" name="Picture"/>
                  <a:graphic>
                    <a:graphicData uri="http://schemas.openxmlformats.org/drawingml/2006/picture">
                      <pic:pic>
                        <pic:nvPicPr>
                          <pic:cNvPr descr="figureS2.png" id="220" name="Picture"/>
                          <pic:cNvPicPr>
                            <a:picLocks noChangeArrowheads="1" noChangeAspect="1"/>
                          </pic:cNvPicPr>
                        </pic:nvPicPr>
                        <pic:blipFill>
                          <a:blip r:embed="rId218"/>
                          <a:stretch>
                            <a:fillRect/>
                          </a:stretch>
                        </pic:blipFill>
                        <pic:spPr bwMode="auto">
                          <a:xfrm>
                            <a:off x="0" y="0"/>
                            <a:ext cx="5943600" cy="27296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catalogue against detection tier. The same data as</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population tiers, with each tier’s size on the axis. Fill is the prevalence of that type</w:t>
            </w:r>
            <w:r>
              <w:t xml:space="preserve"> </w:t>
            </w:r>
            <w:r>
              <w:rPr>
                <w:i/>
                <w:iCs/>
              </w:rPr>
              <w:t xml:space="preserve">within</w:t>
            </w:r>
            <w:r>
              <w:t xml:space="preserve"> </w:t>
            </w:r>
            <w:r>
              <w:t xml:space="preserve">that tier, as a Beta-Binomial posterior mean under a Beta(0.5, 0.5) prior, the same estimator the tables use; the number printed in each cell is the raw library count. Prevalence rather than count is what the colour encodes because tier sizes span 10 to 7,800 libraries, so counts are not comparable across rows: three libraries is 23% of the EV tier and 0.04% of unselected skin. The scale is log</w:t>
            </w:r>
            <w:r>
              <w:rPr>
                <w:vertAlign w:val="subscript"/>
              </w:rPr>
              <w:t xml:space="preserve">10</w:t>
            </w:r>
            <w:r>
              <w:t xml:space="preserve"> </w:t>
            </w:r>
            <w:r>
              <w:t xml:space="preserve">for the same reason, spanning 0.02% to 91%, and grey marks a type not seen in that tier at all. Read that way the two panels say different things. The assigned catalogue is concentrated in three rows, productive controls, peri-lesional mucosa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22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2"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222"/>
        </w:tc>
      </w:tr>
    </w:tbl>
    <w:bookmarkStart w:id="224"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23"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223"/>
        </w:tc>
      </w:tr>
    </w:tbl>
    <w:bookmarkEnd w:id="224"/>
    <w:bookmarkEnd w:id="225"/>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08" Target="media/rId208.png" /><Relationship Type="http://schemas.openxmlformats.org/officeDocument/2006/relationships/image" Id="rId218" Target="media/rId218.png" /><Relationship Type="http://schemas.openxmlformats.org/officeDocument/2006/relationships/hyperlink" Id="rId201" Target="https://doi.org/10.1001/jamadermatol.2025.0531" TargetMode="External" /><Relationship Type="http://schemas.openxmlformats.org/officeDocument/2006/relationships/hyperlink" Id="rId161"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99" Target="https://doi.org/10.1007/s00430-011-0212-3" TargetMode="External" /><Relationship Type="http://schemas.openxmlformats.org/officeDocument/2006/relationships/hyperlink" Id="rId184"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7" Target="https://doi.org/10.1016/j.coviro.2019.07.010" TargetMode="External" /><Relationship Type="http://schemas.openxmlformats.org/officeDocument/2006/relationships/hyperlink" Id="rId111" Target="https://doi.org/10.1016/j.virol.2019.08.007" TargetMode="External" /><Relationship Type="http://schemas.openxmlformats.org/officeDocument/2006/relationships/hyperlink" Id="rId123" Target="https://doi.org/10.1016/j.xgen.2022.100211"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113" Target="https://doi.org/10.1038/nbt.3820" TargetMode="External" /><Relationship Type="http://schemas.openxmlformats.org/officeDocument/2006/relationships/hyperlink" Id="rId166" Target="https://doi.org/10.1038/ng1044" TargetMode="External" /><Relationship Type="http://schemas.openxmlformats.org/officeDocument/2006/relationships/hyperlink" Id="rId186" Target="https://doi.org/10.1038/s41586-019-1719-9" TargetMode="External" /><Relationship Type="http://schemas.openxmlformats.org/officeDocument/2006/relationships/hyperlink" Id="rId143" Target="https://doi.org/10.1038/s41586-020-3023-0" TargetMode="External" /><Relationship Type="http://schemas.openxmlformats.org/officeDocument/2006/relationships/hyperlink" Id="rId188" Target="https://doi.org/10.1038/s41586-020-3024-z" TargetMode="External" /><Relationship Type="http://schemas.openxmlformats.org/officeDocument/2006/relationships/hyperlink" Id="rId120" Target="https://doi.org/10.1038/s41586-021-04332-2" TargetMode="External" /><Relationship Type="http://schemas.openxmlformats.org/officeDocument/2006/relationships/hyperlink" Id="rId92" Target="https://doi.org/10.1038/srep05807" TargetMode="External" /><Relationship Type="http://schemas.openxmlformats.org/officeDocument/2006/relationships/hyperlink" Id="rId168" Target="https://doi.org/10.1073/pnas.2118930119" TargetMode="External" /><Relationship Type="http://schemas.openxmlformats.org/officeDocument/2006/relationships/hyperlink" Id="rId137" Target="https://doi.org/10.1084/jem.20170308" TargetMode="External" /><Relationship Type="http://schemas.openxmlformats.org/officeDocument/2006/relationships/hyperlink" Id="rId115" Target="https://doi.org/10.1093/bioinformatics/bts635" TargetMode="External" /><Relationship Type="http://schemas.openxmlformats.org/officeDocument/2006/relationships/hyperlink" Id="rId152" Target="https://doi.org/10.1093/bioinformatics/btt656" TargetMode="External" /><Relationship Type="http://schemas.openxmlformats.org/officeDocument/2006/relationships/hyperlink" Id="rId99" Target="https://doi.org/10.1093/bioinformatics/bty560" TargetMode="External" /><Relationship Type="http://schemas.openxmlformats.org/officeDocument/2006/relationships/hyperlink" Id="rId109" Target="https://doi.org/10.1093/gigascience/giab008" TargetMode="External" /><Relationship Type="http://schemas.openxmlformats.org/officeDocument/2006/relationships/hyperlink" Id="rId172" Target="https://doi.org/10.1093/infdis/jiy577" TargetMode="External" /><Relationship Type="http://schemas.openxmlformats.org/officeDocument/2006/relationships/hyperlink" Id="rId148" Target="https://doi.org/10.1093/nar/gkq1019" TargetMode="External" /><Relationship Type="http://schemas.openxmlformats.org/officeDocument/2006/relationships/hyperlink" Id="rId191" Target="https://doi.org/10.1093/nar/gkw879" TargetMode="External" /><Relationship Type="http://schemas.openxmlformats.org/officeDocument/2006/relationships/hyperlink" Id="rId126" Target="https://doi.org/10.1097/DAD.0000000000001289" TargetMode="External" /><Relationship Type="http://schemas.openxmlformats.org/officeDocument/2006/relationships/hyperlink" Id="rId103" Target="https://doi.org/10.1101/2024.07.30.605881" TargetMode="External" /><Relationship Type="http://schemas.openxmlformats.org/officeDocument/2006/relationships/hyperlink" Id="rId193" Target="https://doi.org/10.1111/exd.14385" TargetMode="External" /><Relationship Type="http://schemas.openxmlformats.org/officeDocument/2006/relationships/hyperlink" Id="rId164" Target="https://doi.org/10.1111/j.0022-202X.2005.23635.x" TargetMode="External" /><Relationship Type="http://schemas.openxmlformats.org/officeDocument/2006/relationships/hyperlink" Id="rId101" Target="https://doi.org/10.1128/JCM.01785-07" TargetMode="External" /><Relationship Type="http://schemas.openxmlformats.org/officeDocument/2006/relationships/hyperlink" Id="rId154" Target="https://doi.org/10.1128/JVI.00093-14" TargetMode="External" /><Relationship Type="http://schemas.openxmlformats.org/officeDocument/2006/relationships/hyperlink" Id="rId140" Target="https://doi.org/10.1128/JVI.00822-15" TargetMode="External" /><Relationship Type="http://schemas.openxmlformats.org/officeDocument/2006/relationships/hyperlink" Id="rId174" Target="https://doi.org/10.1128/JVI.01003-18" TargetMode="External" /><Relationship Type="http://schemas.openxmlformats.org/officeDocument/2006/relationships/hyperlink" Id="rId95"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28"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07" Target="https://doi.org/10.1158/0008-5472.CAN-08-3099" TargetMode="External" /><Relationship Type="http://schemas.openxmlformats.org/officeDocument/2006/relationships/hyperlink" Id="rId170" Target="https://doi.org/10.1158/0008-5472.CAN-21-0805" TargetMode="External" /><Relationship Type="http://schemas.openxmlformats.org/officeDocument/2006/relationships/hyperlink" Id="rId90" Target="https://doi.org/10.1158/1055-9965.EPI-09-0025" TargetMode="External" /><Relationship Type="http://schemas.openxmlformats.org/officeDocument/2006/relationships/hyperlink" Id="rId150" Target="https://doi.org/10.1158/1078-0432.CCR-25-0645" TargetMode="External" /><Relationship Type="http://schemas.openxmlformats.org/officeDocument/2006/relationships/hyperlink" Id="rId146" Target="https://doi.org/10.1158/2159-8290.CD-22-0489" TargetMode="External" /><Relationship Type="http://schemas.openxmlformats.org/officeDocument/2006/relationships/hyperlink" Id="rId176" Target="https://doi.org/10.1172/jci.insight.162558" TargetMode="External" /><Relationship Type="http://schemas.openxmlformats.org/officeDocument/2006/relationships/hyperlink" Id="rId158" Target="https://doi.org/10.1172/jci.insight.177898" TargetMode="External" /><Relationship Type="http://schemas.openxmlformats.org/officeDocument/2006/relationships/hyperlink" Id="rId178" Target="https://doi.org/10.1186/s12864-020-6483-6" TargetMode="External" /><Relationship Type="http://schemas.openxmlformats.org/officeDocument/2006/relationships/hyperlink" Id="rId203" Target="https://doi.org/10.1186/s13059-019-1891-0" TargetMode="External" /><Relationship Type="http://schemas.openxmlformats.org/officeDocument/2006/relationships/hyperlink" Id="rId182" Target="https://doi.org/10.1371/journal.pone.0163962" TargetMode="External" /><Relationship Type="http://schemas.openxmlformats.org/officeDocument/2006/relationships/hyperlink" Id="rId134" Target="https://doi.org/10.1371/journal.pone.0217942" TargetMode="External" /><Relationship Type="http://schemas.openxmlformats.org/officeDocument/2006/relationships/hyperlink" Id="rId195" Target="https://doi.org/10.1371/journal.ppat.1006783" TargetMode="External" /><Relationship Type="http://schemas.openxmlformats.org/officeDocument/2006/relationships/hyperlink" Id="rId88" Target="https://doi.org/10.3389/fmicb.2018.00117" TargetMode="External" /><Relationship Type="http://schemas.openxmlformats.org/officeDocument/2006/relationships/hyperlink" Id="rId105" Target="https://doi.org/10.3802/jgo.2018.29.e38" TargetMode="External" /><Relationship Type="http://schemas.openxmlformats.org/officeDocument/2006/relationships/hyperlink" Id="rId180" Target="https://doi.org/10.64898/2026.04.21.719858" TargetMode="External" /><Relationship Type="http://schemas.openxmlformats.org/officeDocument/2006/relationships/hyperlink" Id="rId68" Target="https://github.com/tpall/hpv-human-skin" TargetMode="External" /><Relationship Type="http://schemas.openxmlformats.org/officeDocument/2006/relationships/hyperlink" Id="rId130" Target="https://mc-stan.org/rstanarm/" TargetMode="External" /><Relationship Type="http://schemas.openxmlformats.org/officeDocument/2006/relationships/hyperlink" Id="rId69"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201" Target="https://doi.org/10.1001/jamadermatol.2025.0531" TargetMode="External" /><Relationship Type="http://schemas.openxmlformats.org/officeDocument/2006/relationships/hyperlink" Id="rId161"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99" Target="https://doi.org/10.1007/s00430-011-0212-3" TargetMode="External" /><Relationship Type="http://schemas.openxmlformats.org/officeDocument/2006/relationships/hyperlink" Id="rId184"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7" Target="https://doi.org/10.1016/j.coviro.2019.07.010" TargetMode="External" /><Relationship Type="http://schemas.openxmlformats.org/officeDocument/2006/relationships/hyperlink" Id="rId111" Target="https://doi.org/10.1016/j.virol.2019.08.007" TargetMode="External" /><Relationship Type="http://schemas.openxmlformats.org/officeDocument/2006/relationships/hyperlink" Id="rId123" Target="https://doi.org/10.1016/j.xgen.2022.100211"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113" Target="https://doi.org/10.1038/nbt.3820" TargetMode="External" /><Relationship Type="http://schemas.openxmlformats.org/officeDocument/2006/relationships/hyperlink" Id="rId166" Target="https://doi.org/10.1038/ng1044" TargetMode="External" /><Relationship Type="http://schemas.openxmlformats.org/officeDocument/2006/relationships/hyperlink" Id="rId186" Target="https://doi.org/10.1038/s41586-019-1719-9" TargetMode="External" /><Relationship Type="http://schemas.openxmlformats.org/officeDocument/2006/relationships/hyperlink" Id="rId143" Target="https://doi.org/10.1038/s41586-020-3023-0" TargetMode="External" /><Relationship Type="http://schemas.openxmlformats.org/officeDocument/2006/relationships/hyperlink" Id="rId188" Target="https://doi.org/10.1038/s41586-020-3024-z" TargetMode="External" /><Relationship Type="http://schemas.openxmlformats.org/officeDocument/2006/relationships/hyperlink" Id="rId120" Target="https://doi.org/10.1038/s41586-021-04332-2" TargetMode="External" /><Relationship Type="http://schemas.openxmlformats.org/officeDocument/2006/relationships/hyperlink" Id="rId92" Target="https://doi.org/10.1038/srep05807" TargetMode="External" /><Relationship Type="http://schemas.openxmlformats.org/officeDocument/2006/relationships/hyperlink" Id="rId168" Target="https://doi.org/10.1073/pnas.2118930119" TargetMode="External" /><Relationship Type="http://schemas.openxmlformats.org/officeDocument/2006/relationships/hyperlink" Id="rId137" Target="https://doi.org/10.1084/jem.20170308" TargetMode="External" /><Relationship Type="http://schemas.openxmlformats.org/officeDocument/2006/relationships/hyperlink" Id="rId115" Target="https://doi.org/10.1093/bioinformatics/bts635" TargetMode="External" /><Relationship Type="http://schemas.openxmlformats.org/officeDocument/2006/relationships/hyperlink" Id="rId152" Target="https://doi.org/10.1093/bioinformatics/btt656" TargetMode="External" /><Relationship Type="http://schemas.openxmlformats.org/officeDocument/2006/relationships/hyperlink" Id="rId99" Target="https://doi.org/10.1093/bioinformatics/bty560" TargetMode="External" /><Relationship Type="http://schemas.openxmlformats.org/officeDocument/2006/relationships/hyperlink" Id="rId109" Target="https://doi.org/10.1093/gigascience/giab008" TargetMode="External" /><Relationship Type="http://schemas.openxmlformats.org/officeDocument/2006/relationships/hyperlink" Id="rId172" Target="https://doi.org/10.1093/infdis/jiy577" TargetMode="External" /><Relationship Type="http://schemas.openxmlformats.org/officeDocument/2006/relationships/hyperlink" Id="rId148" Target="https://doi.org/10.1093/nar/gkq1019" TargetMode="External" /><Relationship Type="http://schemas.openxmlformats.org/officeDocument/2006/relationships/hyperlink" Id="rId191" Target="https://doi.org/10.1093/nar/gkw879" TargetMode="External" /><Relationship Type="http://schemas.openxmlformats.org/officeDocument/2006/relationships/hyperlink" Id="rId126" Target="https://doi.org/10.1097/DAD.0000000000001289" TargetMode="External" /><Relationship Type="http://schemas.openxmlformats.org/officeDocument/2006/relationships/hyperlink" Id="rId103" Target="https://doi.org/10.1101/2024.07.30.605881" TargetMode="External" /><Relationship Type="http://schemas.openxmlformats.org/officeDocument/2006/relationships/hyperlink" Id="rId193" Target="https://doi.org/10.1111/exd.14385" TargetMode="External" /><Relationship Type="http://schemas.openxmlformats.org/officeDocument/2006/relationships/hyperlink" Id="rId164" Target="https://doi.org/10.1111/j.0022-202X.2005.23635.x" TargetMode="External" /><Relationship Type="http://schemas.openxmlformats.org/officeDocument/2006/relationships/hyperlink" Id="rId101" Target="https://doi.org/10.1128/JCM.01785-07" TargetMode="External" /><Relationship Type="http://schemas.openxmlformats.org/officeDocument/2006/relationships/hyperlink" Id="rId154" Target="https://doi.org/10.1128/JVI.00093-14" TargetMode="External" /><Relationship Type="http://schemas.openxmlformats.org/officeDocument/2006/relationships/hyperlink" Id="rId140" Target="https://doi.org/10.1128/JVI.00822-15" TargetMode="External" /><Relationship Type="http://schemas.openxmlformats.org/officeDocument/2006/relationships/hyperlink" Id="rId174" Target="https://doi.org/10.1128/JVI.01003-18" TargetMode="External" /><Relationship Type="http://schemas.openxmlformats.org/officeDocument/2006/relationships/hyperlink" Id="rId95"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28"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07" Target="https://doi.org/10.1158/0008-5472.CAN-08-3099" TargetMode="External" /><Relationship Type="http://schemas.openxmlformats.org/officeDocument/2006/relationships/hyperlink" Id="rId170" Target="https://doi.org/10.1158/0008-5472.CAN-21-0805" TargetMode="External" /><Relationship Type="http://schemas.openxmlformats.org/officeDocument/2006/relationships/hyperlink" Id="rId90" Target="https://doi.org/10.1158/1055-9965.EPI-09-0025" TargetMode="External" /><Relationship Type="http://schemas.openxmlformats.org/officeDocument/2006/relationships/hyperlink" Id="rId150" Target="https://doi.org/10.1158/1078-0432.CCR-25-0645" TargetMode="External" /><Relationship Type="http://schemas.openxmlformats.org/officeDocument/2006/relationships/hyperlink" Id="rId146" Target="https://doi.org/10.1158/2159-8290.CD-22-0489" TargetMode="External" /><Relationship Type="http://schemas.openxmlformats.org/officeDocument/2006/relationships/hyperlink" Id="rId176" Target="https://doi.org/10.1172/jci.insight.162558" TargetMode="External" /><Relationship Type="http://schemas.openxmlformats.org/officeDocument/2006/relationships/hyperlink" Id="rId158" Target="https://doi.org/10.1172/jci.insight.177898" TargetMode="External" /><Relationship Type="http://schemas.openxmlformats.org/officeDocument/2006/relationships/hyperlink" Id="rId178" Target="https://doi.org/10.1186/s12864-020-6483-6" TargetMode="External" /><Relationship Type="http://schemas.openxmlformats.org/officeDocument/2006/relationships/hyperlink" Id="rId203" Target="https://doi.org/10.1186/s13059-019-1891-0" TargetMode="External" /><Relationship Type="http://schemas.openxmlformats.org/officeDocument/2006/relationships/hyperlink" Id="rId182" Target="https://doi.org/10.1371/journal.pone.0163962" TargetMode="External" /><Relationship Type="http://schemas.openxmlformats.org/officeDocument/2006/relationships/hyperlink" Id="rId134" Target="https://doi.org/10.1371/journal.pone.0217942" TargetMode="External" /><Relationship Type="http://schemas.openxmlformats.org/officeDocument/2006/relationships/hyperlink" Id="rId195" Target="https://doi.org/10.1371/journal.ppat.1006783" TargetMode="External" /><Relationship Type="http://schemas.openxmlformats.org/officeDocument/2006/relationships/hyperlink" Id="rId88" Target="https://doi.org/10.3389/fmicb.2018.00117" TargetMode="External" /><Relationship Type="http://schemas.openxmlformats.org/officeDocument/2006/relationships/hyperlink" Id="rId105" Target="https://doi.org/10.3802/jgo.2018.29.e38" TargetMode="External" /><Relationship Type="http://schemas.openxmlformats.org/officeDocument/2006/relationships/hyperlink" Id="rId180" Target="https://doi.org/10.64898/2026.04.21.719858" TargetMode="External" /><Relationship Type="http://schemas.openxmlformats.org/officeDocument/2006/relationships/hyperlink" Id="rId68" Target="https://github.com/tpall/hpv-human-skin" TargetMode="External" /><Relationship Type="http://schemas.openxmlformats.org/officeDocument/2006/relationships/hyperlink" Id="rId130" Target="https://mc-stan.org/rstanarm/" TargetMode="External" /><Relationship Type="http://schemas.openxmlformats.org/officeDocument/2006/relationships/hyperlink" Id="rId69"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2026-08-24T10:22:52Z</dcterms:created>
  <dcterms:modified xsi:type="dcterms:W3CDTF">2026-08-24T10:22:52Z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