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2026-08-23</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gamma-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the median rises from -1.48 in normal epithelium through -0.36 in high-grade lesion to 1.47 in carcinoma, roughly eightfold in the direction integration predicts,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gamma types HPV96 and HPV182 at near-complete genome coverage. The type landscape is partitioned by population (</w:t>
      </w:r>
      <w:hyperlink w:anchor="fig-genus">
        <w:r>
          <w:rPr>
            <w:rStyle w:val="Hyperlink"/>
          </w:rPr>
          <w:t xml:space="preserve">Figure 4</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Re-mining the reads that transcriptomic pipelines discard, we find cutaneous HPV productive in warts and EV, transcriptionally quiet in healthy skin, and present in cSCC and actinic keratosis only as a trace that no amount of sequencing depth or favourable library chemistry converts into productive burden.</w:t>
      </w:r>
    </w:p>
    <w:p>
      <w:pPr>
        <w:pStyle w:val="BodyText"/>
      </w:pPr>
      <w:r>
        <w:rPr>
          <w:b/>
          <w:bCs/>
        </w:rPr>
        <w:t xml:space="preserve">This is not a new observation, and we do not present it as one.</w:t>
      </w:r>
      <w:r>
        <w:t xml:space="preserve"> </w:t>
      </w:r>
      <w:r>
        <w:t xml:space="preserve">Transcriptional silence of HPV in cutaneous carcinoma has been reported from four independent RNA-sequencing series</w:t>
      </w:r>
      <w:r>
        <w:t xml:space="preserve"> </w:t>
      </w:r>
      <w:r>
        <w:t xml:space="preserve">(Arron et al. 2011; Hultin et al. 2019; Arroyo Mühr, Hultin, and Dillner 2021; Vandiver et al. 2021)</w:t>
      </w:r>
      <w:r>
        <w:t xml:space="preserve"> </w:t>
      </w:r>
      <w:r>
        <w:t xml:space="preserve">and corroborated by in situ hybridization at comparable cohort size</w:t>
      </w:r>
      <w:r>
        <w:t xml:space="preserve"> </w:t>
      </w:r>
      <w:r>
        <w:t xml:space="preserve">(Fujimoto et al. 2019)</w:t>
      </w:r>
      <w:r>
        <w:t xml:space="preserve">. Two of those series ran at 35 and 66 million median reads, so the possibility that the negative is an artefact of shallow sequencing was disposed of years ago; depth here is a modelled covariate, not a discovery. What our data add is the denominator, the controls and the criterion. The prior series run from 11 to 345 specimens; ours contrasts 406 cSCC/AK libraries against 7,800 unselected-skin libraries in one pipeline, converting an absence reported within lesions into a case/control contrast with an effect size. Where prior work scores presence or transcription, we score productive replication against a floor calibrated on lesions in which productive infection is certain, so</w:t>
      </w:r>
      <w:r>
        <w:t xml:space="preserve"> </w:t>
      </w:r>
      <w:r>
        <w:t xml:space="preserve">“no productive infection in cSCC/AK”</w:t>
      </w:r>
      <w:r>
        <w:t xml:space="preserve"> </w:t>
      </w:r>
      <w:r>
        <w:t xml:space="preserve">is measured on the instrument that reports 93.2% productivity in warts.</w:t>
      </w:r>
    </w:p>
    <w:p>
      <w:pPr>
        <w:pStyle w:val="BodyText"/>
      </w:pPr>
      <w:r>
        <w:rPr>
          <w:b/>
          <w:bCs/>
        </w:rPr>
        <w:t xml:space="preserve">What the result does not settle is mechanism.</w:t>
      </w:r>
      <w:r>
        <w:t xml:space="preserve"> </w:t>
      </w:r>
      <w:r>
        <w:t xml:space="preserve">All three live accounts predict a declining viral signal along the progression axis: hit-and-run because the virus becomes dispensable, protective immunity because virus-positive cells are selected against</w:t>
      </w:r>
      <w:r>
        <w:t xml:space="preserve"> </w:t>
      </w:r>
      <w:r>
        <w:t xml:space="preserve">(Strickley et al. 2019; Son et al. 2025)</w:t>
      </w:r>
      <w:r>
        <w:t xml:space="preserve">, and cis-restriction because quiescence is the viral default</w:t>
      </w:r>
      <w:r>
        <w:t xml:space="preserve"> </w:t>
      </w:r>
      <w:r>
        <w:t xml:space="preserve">(Rehm et al. 2022)</w:t>
      </w:r>
      <w:r>
        <w:t xml:space="preserve">. Our data measure exactly that axis and therefore cannot separate them. Son and colleagues also report beta-HPV activity elevated in sun-exposed skin, which is not in tension with our quiet reservoir: theirs is in situ activity localised to keratinocyte clones, ours a whole-biopsy average over libraries unstratified by ultraviolet exposure, and a focal clonal signal is what such an average dilutes. The same applies to the HPV8-driven expansion of Lrig1⁺ follicular stem cells proposed for actinic keratosis</w:t>
      </w:r>
      <w:r>
        <w:t xml:space="preserve"> </w:t>
      </w:r>
      <w:r>
        <w:t xml:space="preserve">(Morgan et al. 2024)</w:t>
      </w:r>
      <w:r>
        <w:t xml:space="preserve">: on presence we do not disagree, since trace HPV was recovered from 62.5% of AK libraries, and an E6-driven stem-cell mechanism requires oncogene function rather than capsid production, so a non-productive footprint is what it predicts. Interventional evidence exists and is worth stating precisely: nine-valent vaccination reduced actinic-keratosis burden in a randomised trial</w:t>
      </w:r>
      <w:r>
        <w:t xml:space="preserve"> </w:t>
      </w:r>
      <w:r>
        <w:t xml:space="preserve">(Wenande et al. 2025)</w:t>
      </w:r>
      <w:r>
        <w:t xml:space="preserve">, but that vaccine targets mucosal alpha types, so any effect runs through cross-reactive or non-specific immunity rather than neutralising the resident beta reservoir.</w:t>
      </w:r>
    </w:p>
    <w:p>
      <w:pPr>
        <w:pStyle w:val="BodyText"/>
      </w:pPr>
      <w:r>
        <w:rPr>
          <w:b/>
          <w:bCs/>
        </w:rPr>
        <w:t xml:space="preserve">A 2–4% transcriptome prevalence is not a competing estimate against a 90% DNA reservoir.</w:t>
      </w:r>
      <w:r>
        <w:t xml:space="preserve"> </w:t>
      </w:r>
      <w:r>
        <w:t xml:space="preserve">Three published quantities reconcile them. Beta-HPV DNA loads in normal skin sit below one viral copy per 60 cells</w:t>
      </w:r>
      <w:r>
        <w:t xml:space="preserve"> </w:t>
      </w:r>
      <w:r>
        <w:t xml:space="preserve">(Weissenborn et al. 2012)</w:t>
      </w:r>
      <w:r>
        <w:t xml:space="preserve">, which is beneath the detection floor of bulk RNA-seq by construction. The substrates differ: cutaneous HPV epidemiology samples skin swabs and plucked hair bulbs, where prevalence is 92% and 73% respectively</w:t>
      </w:r>
      <w:r>
        <w:t xml:space="preserve"> </w:t>
      </w:r>
      <w:r>
        <w:t xml:space="preserve">(Rollison, Schell, et al. 2019)</w:t>
      </w:r>
      <w:r>
        <w:t xml:space="preserve">, whereas archived RNA-seq is biopsy tissue and samples neither the surface nor the follicular compartment. And typing is panel-anchored, so the 229 skin types without reference genomes</w:t>
      </w:r>
      <w:r>
        <w:t xml:space="preserve"> </w:t>
      </w:r>
      <w:r>
        <w:t xml:space="preserve">(Bzhalava et al. 2014)</w:t>
      </w:r>
      <w:r>
        <w:t xml:space="preserve"> </w:t>
      </w:r>
      <w:r>
        <w:t xml:space="preserve">are invisible to it. Our figure is the transcriptionally detectable fraction of a genuinely near-ubiquitous reservoir. That the reservoir and the tumour virus are largely different is supported from the DNA side independently: fewer than 5% of beta-HPV types on a person’s skin appear in the cSCC they later develop</w:t>
      </w:r>
      <w:r>
        <w:t xml:space="preserve"> </w:t>
      </w:r>
      <w:r>
        <w:t xml:space="preserve">(Rollison et al. 2021)</w:t>
      </w:r>
      <w:r>
        <w:t xml:space="preserve">, and genotype concordance between paired eyebrow hair and cSCC was 9.1% in a second cohort</w:t>
      </w:r>
      <w:r>
        <w:t xml:space="preserve"> </w:t>
      </w:r>
      <w:r>
        <w:t xml:space="preserve">(Oh et al. 2026)</w:t>
      </w:r>
      <w:r>
        <w:t xml:space="preserve">.</w:t>
      </w:r>
    </w:p>
    <w:p>
      <w:pPr>
        <w:pStyle w:val="BodyText"/>
      </w:pPr>
      <w:r>
        <w:rPr>
          <w:b/>
          <w:bCs/>
        </w:rPr>
        <w:t xml:space="preserve">Contamination is the dominant signal in naive analyses.</w:t>
      </w:r>
      <w:r>
        <w:t xml:space="preserve"> </w:t>
      </w:r>
      <w:r>
        <w:t xml:space="preserve">The five-fold enrichment in cultured material mirrors documented HeLa-derived contamination of archives</w:t>
      </w:r>
      <w:r>
        <w:t xml:space="preserve"> </w:t>
      </w:r>
      <w:r>
        <w:t xml:space="preserve">(Cantalupo, Katz, and Pipas 2015; Kazemian et al. 2015; Adey et al. 2013)</w:t>
      </w:r>
      <w:r>
        <w:t xml:space="preserve">, traced in one centre to a cell-line pool run alongside tumours as a quality-control reference</w:t>
      </w:r>
      <w:r>
        <w:t xml:space="preserve"> </w:t>
      </w:r>
      <w:r>
        <w:t xml:space="preserve">(Selitsky et al. 2020)</w:t>
      </w:r>
      <w:r>
        <w:t xml:space="preserve">; more than 65% of viral sequences recovered from 712 libraries cluster with a reagent or protocol step rather than the specimen</w:t>
      </w:r>
      <w:r>
        <w:t xml:space="preserve"> </w:t>
      </w:r>
      <w:r>
        <w:t xml:space="preserve">(Asplund et al. 2019)</w:t>
      </w:r>
      <w:r>
        <w:t xml:space="preserve">, and re-analysis has invalidated an archive-scale microbial result outright</w:t>
      </w:r>
      <w:r>
        <w:t xml:space="preserve"> </w:t>
      </w:r>
      <w:r>
        <w:t xml:space="preserve">(Gihawi et al. 2023)</w:t>
      </w:r>
      <w:r>
        <w:t xml:space="preserve">. None of the individual safeguards we applied is novel and the requirements were set out before</w:t>
      </w:r>
      <w:r>
        <w:t xml:space="preserve"> </w:t>
      </w:r>
      <w:r>
        <w:t xml:space="preserve">(Cantalupo and Pipas 2019)</w:t>
      </w:r>
      <w:r>
        <w:t xml:space="preserve">; what we contribute is their operationalisation with the size of each artefact reported rather than asserted.</w:t>
      </w:r>
    </w:p>
    <w:p>
      <w:pPr>
        <w:pStyle w:val="BodyText"/>
      </w:pPr>
      <w:r>
        <w:rPr>
          <w:b/>
          <w:bCs/>
        </w:rPr>
        <w:t xml:space="preserve">Limitations.</w:t>
      </w:r>
      <w:r>
        <w:t xml:space="preserve"> </w:t>
      </w:r>
      <w:r>
        <w:t xml:space="preserve">Archival sampling is non-random, so the absolute healthy-skin rate is an estimate. Chemistry was resolvable for 62.2% of libraries; input amount, RNA integrity and fragment selection are not recoverable from archived metadata at all. Bulk sequencing averages over a whole biopsy, so focal transcription is diluted, which is not hypothetical for cutaneous HPV</w:t>
      </w:r>
      <w:r>
        <w:t xml:space="preserve"> </w:t>
      </w:r>
      <w:r>
        <w:t xml:space="preserve">(Purdie et al. 2005)</w:t>
      </w:r>
      <w:r>
        <w:t xml:space="preserve"> </w:t>
      </w:r>
      <w:r>
        <w:t xml:space="preserve">and makes our productivity estimates a lower bound. Tissue and diagnosis labels are programmatic and imperfect, typing is bounded by the reference panel, and our data are cross-sectional, so we describe the productive-status phenomenology rather than prove mechanism.</w:t>
      </w:r>
    </w:p>
    <w:p>
      <w:pPr>
        <w:pStyle w:val="BodyText"/>
      </w:pPr>
      <w:r>
        <w:rPr>
          <w:b/>
          <w:bCs/>
        </w:rPr>
        <w:t xml:space="preserve">Conclusion.</w:t>
      </w:r>
      <w:r>
        <w:t xml:space="preserve"> </w:t>
      </w:r>
      <w:r>
        <w:t xml:space="preserve">Cutaneous HPV is productive in warts and EV and a trace, non-productive footprint in cutaneous squamous neoplasia, independent of sequencing depth and library chemistry. That phenotype is the common ground every current account of beta-HPV in skin cancer must explain, and because all three predict it, separating them will not come from measuring viral activity more precisely. It will require designs that break the shared prediction: matched DNA and RNA profiling across the precursor-to-carcinoma transition, resolution of where residual virus sits relative to mutant clones and infiltrating T cells, and interventional studies of the kind now begun. Single-cell resolution is not the missing piece, having been demonstrated in cutaneous lesions already</w:t>
      </w:r>
      <w:r>
        <w:t xml:space="preserve"> </w:t>
      </w:r>
      <w:r>
        <w:t xml:space="preserve">(Devitt et al. 2019)</w:t>
      </w:r>
      <w:r>
        <w:t xml:space="preserve">; applying it at cohort scale across the actinic-keratosis-to-carcinoma transition is.</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under Data availability.</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62" w:name="supplementary-material"/>
    <w:p>
      <w:pPr>
        <w:pStyle w:val="Heading1"/>
      </w:pPr>
      <w:r>
        <w:t xml:space="preserve">Supplementary Material</w:t>
      </w:r>
    </w:p>
    <w:bookmarkStart w:id="45" w:name="supplementary-materials-and-methods"/>
    <w:p>
      <w:pPr>
        <w:pStyle w:val="Heading2"/>
      </w:pPr>
      <w:r>
        <w:t xml:space="preserve">Supplementary Materials and Methods</w:t>
      </w:r>
    </w:p>
    <w:bookmarkEnd w:id="45"/>
    <w:bookmarkStart w:id="61" w:name="methods"/>
    <w:p>
      <w:pPr>
        <w:pStyle w:val="Heading2"/>
      </w:pPr>
      <w:r>
        <w:t xml:space="preserve">Methods</w:t>
      </w:r>
    </w:p>
    <w:bookmarkStart w:id="46"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46"/>
    <w:bookmarkStart w:id="47"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47"/>
    <w:bookmarkStart w:id="48"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48"/>
    <w:bookmarkStart w:id="49"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49"/>
    <w:bookmarkStart w:id="50"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50"/>
    <w:bookmarkStart w:id="51"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51"/>
    <w:bookmarkStart w:id="52"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52"/>
    <w:bookmarkStart w:id="53"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53"/>
    <w:bookmarkStart w:id="54"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54"/>
    <w:bookmarkStart w:id="55"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55"/>
    <w:bookmarkStart w:id="56"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56"/>
    <w:bookmarkStart w:id="57"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57"/>
    <w:bookmarkStart w:id="60"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58">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59">
        <w:r>
          <w:rPr>
            <w:rStyle w:val="Hyperlink"/>
          </w:rPr>
          <w:t xml:space="preserve">https://pave.niaid.nih.gov</w:t>
        </w:r>
      </w:hyperlink>
      <w:r>
        <w:t xml:space="preserve">) and NCBI RefSeq.</w:t>
      </w:r>
    </w:p>
    <w:bookmarkEnd w:id="60"/>
    <w:bookmarkEnd w:id="61"/>
    <w:bookmarkEnd w:id="62"/>
    <w:bookmarkStart w:id="170"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66" w:name="suppfig-depth"/>
          <w:p>
            <w:pPr>
              <w:pStyle w:val="Compact"/>
              <w:jc w:val="center"/>
            </w:pPr>
            <w:r>
              <w:drawing>
                <wp:inline>
                  <wp:extent cx="5943600" cy="3714749"/>
                  <wp:effectExtent b="0" l="0" r="0" t="0"/>
                  <wp:docPr descr="" title="" id="64" name="Picture"/>
                  <a:graphic>
                    <a:graphicData uri="http://schemas.openxmlformats.org/drawingml/2006/picture">
                      <pic:pic>
                        <pic:nvPicPr>
                          <pic:cNvPr descr="figureS1.png" id="65" name="Picture"/>
                          <pic:cNvPicPr>
                            <a:picLocks noChangeArrowheads="1" noChangeAspect="1"/>
                          </pic:cNvPicPr>
                        </pic:nvPicPr>
                        <pic:blipFill>
                          <a:blip r:embed="rId63"/>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0"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73"/>
        </w:tc>
      </w:tr>
    </w:tbl>
    <w:bookmarkStart w:id="169"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74"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74"/>
        </w:tc>
      </w:tr>
    </w:tbl>
    <w:bookmarkStart w:id="168"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8"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7">
        <w:r>
          <w:rPr>
            <w:rStyle w:val="Hyperlink"/>
          </w:rPr>
          <w:t xml:space="preserve">https://doi.org/10.1038/srep05807</w:t>
        </w:r>
      </w:hyperlink>
      <w:r>
        <w:t xml:space="preserve">.</w:t>
      </w:r>
    </w:p>
    <w:bookmarkEnd w:id="88"/>
    <w:bookmarkStart w:id="90"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89">
        <w:r>
          <w:rPr>
            <w:rStyle w:val="Hyperlink"/>
          </w:rPr>
          <w:t xml:space="preserve">https://doi.org/10.1128/JVI.03365-14</w:t>
        </w:r>
      </w:hyperlink>
      <w:r>
        <w:t xml:space="preserve">.</w:t>
      </w:r>
    </w:p>
    <w:bookmarkEnd w:id="90"/>
    <w:bookmarkStart w:id="92"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1">
        <w:r>
          <w:rPr>
            <w:rStyle w:val="Hyperlink"/>
          </w:rPr>
          <w:t xml:space="preserve">https://doi.org/10.1016/j.coviro.2019.07.010</w:t>
        </w:r>
      </w:hyperlink>
      <w:r>
        <w:t xml:space="preserve">.</w:t>
      </w:r>
    </w:p>
    <w:bookmarkEnd w:id="92"/>
    <w:bookmarkStart w:id="94"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3">
        <w:r>
          <w:rPr>
            <w:rStyle w:val="Hyperlink"/>
          </w:rPr>
          <w:t xml:space="preserve">https://doi.org/10.1093/bioinformatics/bty560</w:t>
        </w:r>
      </w:hyperlink>
      <w:r>
        <w:t xml:space="preserve">.</w:t>
      </w:r>
    </w:p>
    <w:bookmarkEnd w:id="94"/>
    <w:bookmarkStart w:id="96"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95">
        <w:r>
          <w:rPr>
            <w:rStyle w:val="Hyperlink"/>
          </w:rPr>
          <w:t xml:space="preserve">https://doi.org/10.1093/gigascience/giab008</w:t>
        </w:r>
      </w:hyperlink>
      <w:r>
        <w:t xml:space="preserve">.</w:t>
      </w:r>
    </w:p>
    <w:bookmarkEnd w:id="96"/>
    <w:bookmarkStart w:id="98"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97">
        <w:r>
          <w:rPr>
            <w:rStyle w:val="Hyperlink"/>
          </w:rPr>
          <w:t xml:space="preserve">https://doi.org/10.1016/j.virol.2019.08.007</w:t>
        </w:r>
      </w:hyperlink>
      <w:r>
        <w:t xml:space="preserve">.</w:t>
      </w:r>
    </w:p>
    <w:bookmarkEnd w:id="98"/>
    <w:bookmarkStart w:id="100"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99">
        <w:r>
          <w:rPr>
            <w:rStyle w:val="Hyperlink"/>
          </w:rPr>
          <w:t xml:space="preserve">https://doi.org/10.1038/nbt.3820</w:t>
        </w:r>
      </w:hyperlink>
      <w:r>
        <w:t xml:space="preserve">.</w:t>
      </w:r>
    </w:p>
    <w:bookmarkEnd w:id="100"/>
    <w:bookmarkStart w:id="102"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01">
        <w:r>
          <w:rPr>
            <w:rStyle w:val="Hyperlink"/>
          </w:rPr>
          <w:t xml:space="preserve">https://doi.org/10.1093/bioinformatics/bts635</w:t>
        </w:r>
      </w:hyperlink>
      <w:r>
        <w:t xml:space="preserve">.</w:t>
      </w:r>
    </w:p>
    <w:bookmarkEnd w:id="102"/>
    <w:bookmarkStart w:id="103"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03"/>
    <w:bookmarkStart w:id="10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04"/>
    <w:bookmarkStart w:id="10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05">
        <w:r>
          <w:rPr>
            <w:rStyle w:val="Hyperlink"/>
          </w:rPr>
          <w:t xml:space="preserve">https://doi.org/10.1038/s41586-021-04332-2</w:t>
        </w:r>
      </w:hyperlink>
      <w:r>
        <w:t xml:space="preserve">.</w:t>
      </w:r>
    </w:p>
    <w:bookmarkEnd w:id="106"/>
    <w:bookmarkStart w:id="108"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07">
        <w:r>
          <w:rPr>
            <w:rStyle w:val="Hyperlink"/>
          </w:rPr>
          <w:t xml:space="preserve">https://doi.org/10.1097/DAD.0000000000001289</w:t>
        </w:r>
      </w:hyperlink>
      <w:r>
        <w:t xml:space="preserve">.</w:t>
      </w:r>
    </w:p>
    <w:bookmarkEnd w:id="108"/>
    <w:bookmarkStart w:id="110"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09">
        <w:r>
          <w:rPr>
            <w:rStyle w:val="Hyperlink"/>
          </w:rPr>
          <w:t xml:space="preserve">https://doi.org/10.1128/mbio.01607-23</w:t>
        </w:r>
      </w:hyperlink>
      <w:r>
        <w:t xml:space="preserve">.</w:t>
      </w:r>
    </w:p>
    <w:bookmarkEnd w:id="110"/>
    <w:bookmarkStart w:id="112"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11">
        <w:r>
          <w:rPr>
            <w:rStyle w:val="Hyperlink"/>
          </w:rPr>
          <w:t xml:space="preserve">https://mc-stan.org/rstanarm/</w:t>
        </w:r>
      </w:hyperlink>
      <w:r>
        <w:t xml:space="preserve">.</w:t>
      </w:r>
    </w:p>
    <w:bookmarkEnd w:id="112"/>
    <w:bookmarkStart w:id="11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13"/>
    <w:bookmarkStart w:id="11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14">
        <w:r>
          <w:rPr>
            <w:rStyle w:val="Hyperlink"/>
          </w:rPr>
          <w:t xml:space="preserve">https://doi.org/10.1371/journal.pone.0217942</w:t>
        </w:r>
      </w:hyperlink>
      <w:r>
        <w:t xml:space="preserve">.</w:t>
      </w:r>
    </w:p>
    <w:bookmarkEnd w:id="115"/>
    <w:bookmarkStart w:id="117"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16">
        <w:r>
          <w:rPr>
            <w:rStyle w:val="Hyperlink"/>
          </w:rPr>
          <w:t xml:space="preserve">https://doi.org/10.1128/JVI.00822-15</w:t>
        </w:r>
      </w:hyperlink>
      <w:r>
        <w:t xml:space="preserve">.</w:t>
      </w:r>
    </w:p>
    <w:bookmarkEnd w:id="117"/>
    <w:bookmarkStart w:id="119"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18">
        <w:r>
          <w:rPr>
            <w:rStyle w:val="Hyperlink"/>
          </w:rPr>
          <w:t xml:space="preserve">https://doi.org/10.1038/s41586-020-3023-0</w:t>
        </w:r>
      </w:hyperlink>
      <w:r>
        <w:t xml:space="preserve">.</w:t>
      </w:r>
    </w:p>
    <w:bookmarkEnd w:id="119"/>
    <w:bookmarkStart w:id="121"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20">
        <w:r>
          <w:rPr>
            <w:rStyle w:val="Hyperlink"/>
          </w:rPr>
          <w:t xml:space="preserve">https://doi.org/10.1158/2159-8290.CD-22-0489</w:t>
        </w:r>
      </w:hyperlink>
      <w:r>
        <w:t xml:space="preserve">.</w:t>
      </w:r>
    </w:p>
    <w:bookmarkEnd w:id="121"/>
    <w:bookmarkStart w:id="123"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22">
        <w:r>
          <w:rPr>
            <w:rStyle w:val="Hyperlink"/>
          </w:rPr>
          <w:t xml:space="preserve">https://doi.org/10.1093/nar/gkq1019</w:t>
        </w:r>
      </w:hyperlink>
      <w:r>
        <w:t xml:space="preserve">.</w:t>
      </w:r>
    </w:p>
    <w:bookmarkEnd w:id="123"/>
    <w:bookmarkStart w:id="125"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24">
        <w:r>
          <w:rPr>
            <w:rStyle w:val="Hyperlink"/>
          </w:rPr>
          <w:t xml:space="preserve">https://doi.org/10.1093/bioinformatics/btt656</w:t>
        </w:r>
      </w:hyperlink>
      <w:r>
        <w:t xml:space="preserve">.</w:t>
      </w:r>
    </w:p>
    <w:bookmarkEnd w:id="125"/>
    <w:bookmarkStart w:id="127"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26">
        <w:r>
          <w:rPr>
            <w:rStyle w:val="Hyperlink"/>
          </w:rPr>
          <w:t xml:space="preserve">https://doi.org/10.1128/JVI.00093-14</w:t>
        </w:r>
      </w:hyperlink>
      <w:r>
        <w:t xml:space="preserve">.</w:t>
      </w:r>
    </w:p>
    <w:bookmarkEnd w:id="127"/>
    <w:bookmarkStart w:id="12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28">
        <w:r>
          <w:rPr>
            <w:rStyle w:val="Hyperlink"/>
          </w:rPr>
          <w:t xml:space="preserve">https://doi.org/10.1172/jci.insight.177898</w:t>
        </w:r>
      </w:hyperlink>
      <w:r>
        <w:t xml:space="preserve">.</w:t>
      </w:r>
    </w:p>
    <w:bookmarkEnd w:id="129"/>
    <w:bookmarkStart w:id="131"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30">
        <w:r>
          <w:rPr>
            <w:rStyle w:val="Hyperlink"/>
          </w:rPr>
          <w:t xml:space="preserve">https://doi.org/10.1001/jamadermatol.2026.0308</w:t>
        </w:r>
      </w:hyperlink>
      <w:r>
        <w:t xml:space="preserve">.</w:t>
      </w:r>
    </w:p>
    <w:bookmarkEnd w:id="131"/>
    <w:bookmarkStart w:id="133"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32">
        <w:r>
          <w:rPr>
            <w:rStyle w:val="Hyperlink"/>
          </w:rPr>
          <w:t xml:space="preserve">https://doi.org/10.1111/j.0022-202X.2005.23635.x</w:t>
        </w:r>
      </w:hyperlink>
      <w:r>
        <w:t xml:space="preserve">.</w:t>
      </w:r>
    </w:p>
    <w:bookmarkEnd w:id="133"/>
    <w:bookmarkStart w:id="135"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34">
        <w:r>
          <w:rPr>
            <w:rStyle w:val="Hyperlink"/>
          </w:rPr>
          <w:t xml:space="preserve">https://doi.org/10.1073/pnas.2118930119</w:t>
        </w:r>
      </w:hyperlink>
      <w:r>
        <w:t xml:space="preserve">.</w:t>
      </w:r>
    </w:p>
    <w:bookmarkEnd w:id="135"/>
    <w:bookmarkStart w:id="137"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36">
        <w:r>
          <w:rPr>
            <w:rStyle w:val="Hyperlink"/>
          </w:rPr>
          <w:t xml:space="preserve">https://doi.org/10.1158/0008-5472.CAN-21-0805</w:t>
        </w:r>
      </w:hyperlink>
      <w:r>
        <w:t xml:space="preserve">.</w:t>
      </w:r>
    </w:p>
    <w:bookmarkEnd w:id="137"/>
    <w:bookmarkStart w:id="139"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38">
        <w:r>
          <w:rPr>
            <w:rStyle w:val="Hyperlink"/>
          </w:rPr>
          <w:t xml:space="preserve">https://doi.org/10.1093/infdis/jiy577</w:t>
        </w:r>
      </w:hyperlink>
      <w:r>
        <w:t xml:space="preserve">.</w:t>
      </w:r>
    </w:p>
    <w:bookmarkEnd w:id="139"/>
    <w:bookmarkStart w:id="141"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40">
        <w:r>
          <w:rPr>
            <w:rStyle w:val="Hyperlink"/>
          </w:rPr>
          <w:t xml:space="preserve">https://doi.org/10.1128/JVI.01003-18</w:t>
        </w:r>
      </w:hyperlink>
      <w:r>
        <w:t xml:space="preserve">.</w:t>
      </w:r>
    </w:p>
    <w:bookmarkEnd w:id="141"/>
    <w:bookmarkStart w:id="143"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42">
        <w:r>
          <w:rPr>
            <w:rStyle w:val="Hyperlink"/>
          </w:rPr>
          <w:t xml:space="preserve">https://doi.org/10.1172/jci.insight.162558</w:t>
        </w:r>
      </w:hyperlink>
      <w:r>
        <w:t xml:space="preserve">.</w:t>
      </w:r>
    </w:p>
    <w:bookmarkEnd w:id="143"/>
    <w:bookmarkStart w:id="145"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44">
        <w:r>
          <w:rPr>
            <w:rStyle w:val="Hyperlink"/>
          </w:rPr>
          <w:t xml:space="preserve">https://doi.org/10.1186/s12864-020-6483-6</w:t>
        </w:r>
      </w:hyperlink>
      <w:r>
        <w:t xml:space="preserve">.</w:t>
      </w:r>
    </w:p>
    <w:bookmarkEnd w:id="145"/>
    <w:bookmarkStart w:id="147"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46">
        <w:r>
          <w:rPr>
            <w:rStyle w:val="Hyperlink"/>
          </w:rPr>
          <w:t xml:space="preserve">https://doi.org/10.64898/2026.04.21.719858</w:t>
        </w:r>
      </w:hyperlink>
      <w:r>
        <w:t xml:space="preserve">.</w:t>
      </w:r>
    </w:p>
    <w:bookmarkEnd w:id="147"/>
    <w:bookmarkStart w:id="149"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48">
        <w:r>
          <w:rPr>
            <w:rStyle w:val="Hyperlink"/>
          </w:rPr>
          <w:t xml:space="preserve">https://doi.org/10.1371/journal.pone.0163962</w:t>
        </w:r>
      </w:hyperlink>
      <w:r>
        <w:t xml:space="preserve">.</w:t>
      </w:r>
    </w:p>
    <w:bookmarkEnd w:id="149"/>
    <w:bookmarkStart w:id="151"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50">
        <w:r>
          <w:rPr>
            <w:rStyle w:val="Hyperlink"/>
          </w:rPr>
          <w:t xml:space="preserve">https://doi.org/10.1016/j.ccell.2024.11.013</w:t>
        </w:r>
      </w:hyperlink>
      <w:r>
        <w:t xml:space="preserve">.</w:t>
      </w:r>
    </w:p>
    <w:bookmarkEnd w:id="151"/>
    <w:bookmarkStart w:id="153"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52">
        <w:r>
          <w:rPr>
            <w:rStyle w:val="Hyperlink"/>
          </w:rPr>
          <w:t xml:space="preserve">https://doi.org/10.1038/s41586-019-1719-9</w:t>
        </w:r>
      </w:hyperlink>
      <w:r>
        <w:t xml:space="preserve">.</w:t>
      </w:r>
    </w:p>
    <w:bookmarkEnd w:id="153"/>
    <w:bookmarkStart w:id="155"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54">
        <w:r>
          <w:rPr>
            <w:rStyle w:val="Hyperlink"/>
          </w:rPr>
          <w:t xml:space="preserve">https://doi.org/10.1038/s41586-020-3024-z</w:t>
        </w:r>
      </w:hyperlink>
      <w:r>
        <w:t xml:space="preserve">.</w:t>
      </w:r>
    </w:p>
    <w:bookmarkEnd w:id="155"/>
    <w:bookmarkStart w:id="157"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56">
        <w:r>
          <w:rPr>
            <w:rStyle w:val="Hyperlink"/>
          </w:rPr>
          <w:t xml:space="preserve">https://doi.org/10.1093/nar/gkw879</w:t>
        </w:r>
      </w:hyperlink>
      <w:r>
        <w:t xml:space="preserve">.</w:t>
      </w:r>
    </w:p>
    <w:bookmarkEnd w:id="157"/>
    <w:bookmarkStart w:id="159"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58">
        <w:r>
          <w:rPr>
            <w:rStyle w:val="Hyperlink"/>
          </w:rPr>
          <w:t xml:space="preserve">https://doi.org/10.1111/exd.14385</w:t>
        </w:r>
      </w:hyperlink>
      <w:r>
        <w:t xml:space="preserve">.</w:t>
      </w:r>
    </w:p>
    <w:bookmarkEnd w:id="159"/>
    <w:bookmarkStart w:id="161"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60">
        <w:r>
          <w:rPr>
            <w:rStyle w:val="Hyperlink"/>
          </w:rPr>
          <w:t xml:space="preserve">https://doi.org/10.1371/journal.ppat.1006783</w:t>
        </w:r>
      </w:hyperlink>
      <w:r>
        <w:t xml:space="preserve">.</w:t>
      </w:r>
    </w:p>
    <w:bookmarkEnd w:id="161"/>
    <w:bookmarkStart w:id="163"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62">
        <w:r>
          <w:rPr>
            <w:rStyle w:val="Hyperlink"/>
          </w:rPr>
          <w:t xml:space="preserve">https://doi.org/10.1007/s00430-011-0212-3</w:t>
        </w:r>
      </w:hyperlink>
      <w:r>
        <w:t xml:space="preserve">.</w:t>
      </w:r>
    </w:p>
    <w:bookmarkEnd w:id="163"/>
    <w:bookmarkStart w:id="165"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64">
        <w:r>
          <w:rPr>
            <w:rStyle w:val="Hyperlink"/>
          </w:rPr>
          <w:t xml:space="preserve">https://doi.org/10.1001/jamadermatol.2025.0531</w:t>
        </w:r>
      </w:hyperlink>
      <w:r>
        <w:t xml:space="preserve">.</w:t>
      </w:r>
    </w:p>
    <w:bookmarkEnd w:id="165"/>
    <w:bookmarkStart w:id="167"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66">
        <w:r>
          <w:rPr>
            <w:rStyle w:val="Hyperlink"/>
          </w:rPr>
          <w:t xml:space="preserve">https://doi.org/10.1186/s13059-019-1891-0</w:t>
        </w:r>
      </w:hyperlink>
      <w:r>
        <w:t xml:space="preserve">.</w:t>
      </w:r>
    </w:p>
    <w:bookmarkEnd w:id="167"/>
    <w:bookmarkEnd w:id="168"/>
    <w:bookmarkEnd w:id="169"/>
    <w:bookmarkEnd w:id="170"/>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hyperlink" Id="rId164" Target="https://doi.org/10.1001/jamadermatol.2025.0531" TargetMode="External" /><Relationship Type="http://schemas.openxmlformats.org/officeDocument/2006/relationships/hyperlink" Id="rId130"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62" Target="https://doi.org/10.1007/s00430-011-0212-3" TargetMode="External" /><Relationship Type="http://schemas.openxmlformats.org/officeDocument/2006/relationships/hyperlink" Id="rId150"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1" Target="https://doi.org/10.1016/j.coviro.2019.07.010" TargetMode="External" /><Relationship Type="http://schemas.openxmlformats.org/officeDocument/2006/relationships/hyperlink" Id="rId97" Target="https://doi.org/10.1016/j.virol.2019.08.007"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99" Target="https://doi.org/10.1038/nbt.3820" TargetMode="External" /><Relationship Type="http://schemas.openxmlformats.org/officeDocument/2006/relationships/hyperlink" Id="rId152" Target="https://doi.org/10.1038/s41586-019-1719-9" TargetMode="External" /><Relationship Type="http://schemas.openxmlformats.org/officeDocument/2006/relationships/hyperlink" Id="rId118" Target="https://doi.org/10.1038/s41586-020-3023-0" TargetMode="External" /><Relationship Type="http://schemas.openxmlformats.org/officeDocument/2006/relationships/hyperlink" Id="rId154" Target="https://doi.org/10.1038/s41586-020-3024-z" TargetMode="External" /><Relationship Type="http://schemas.openxmlformats.org/officeDocument/2006/relationships/hyperlink" Id="rId105" Target="https://doi.org/10.1038/s41586-021-04332-2" TargetMode="External" /><Relationship Type="http://schemas.openxmlformats.org/officeDocument/2006/relationships/hyperlink" Id="rId87" Target="https://doi.org/10.1038/srep05807" TargetMode="External" /><Relationship Type="http://schemas.openxmlformats.org/officeDocument/2006/relationships/hyperlink" Id="rId134" Target="https://doi.org/10.1073/pnas.2118930119" TargetMode="External" /><Relationship Type="http://schemas.openxmlformats.org/officeDocument/2006/relationships/hyperlink" Id="rId101" Target="https://doi.org/10.1093/bioinformatics/bts635" TargetMode="External" /><Relationship Type="http://schemas.openxmlformats.org/officeDocument/2006/relationships/hyperlink" Id="rId124" Target="https://doi.org/10.1093/bioinformatics/btt656" TargetMode="External" /><Relationship Type="http://schemas.openxmlformats.org/officeDocument/2006/relationships/hyperlink" Id="rId93" Target="https://doi.org/10.1093/bioinformatics/bty560" TargetMode="External" /><Relationship Type="http://schemas.openxmlformats.org/officeDocument/2006/relationships/hyperlink" Id="rId95" Target="https://doi.org/10.1093/gigascience/giab008" TargetMode="External" /><Relationship Type="http://schemas.openxmlformats.org/officeDocument/2006/relationships/hyperlink" Id="rId138" Target="https://doi.org/10.1093/infdis/jiy577" TargetMode="External" /><Relationship Type="http://schemas.openxmlformats.org/officeDocument/2006/relationships/hyperlink" Id="rId122" Target="https://doi.org/10.1093/nar/gkq1019" TargetMode="External" /><Relationship Type="http://schemas.openxmlformats.org/officeDocument/2006/relationships/hyperlink" Id="rId156" Target="https://doi.org/10.1093/nar/gkw879" TargetMode="External" /><Relationship Type="http://schemas.openxmlformats.org/officeDocument/2006/relationships/hyperlink" Id="rId107" Target="https://doi.org/10.1097/DAD.0000000000001289" TargetMode="External" /><Relationship Type="http://schemas.openxmlformats.org/officeDocument/2006/relationships/hyperlink" Id="rId158" Target="https://doi.org/10.1111/exd.14385" TargetMode="External" /><Relationship Type="http://schemas.openxmlformats.org/officeDocument/2006/relationships/hyperlink" Id="rId132" Target="https://doi.org/10.1111/j.0022-202X.2005.23635.x" TargetMode="External" /><Relationship Type="http://schemas.openxmlformats.org/officeDocument/2006/relationships/hyperlink" Id="rId126" Target="https://doi.org/10.1128/JVI.00093-14" TargetMode="External" /><Relationship Type="http://schemas.openxmlformats.org/officeDocument/2006/relationships/hyperlink" Id="rId116" Target="https://doi.org/10.1128/JVI.00822-15" TargetMode="External" /><Relationship Type="http://schemas.openxmlformats.org/officeDocument/2006/relationships/hyperlink" Id="rId140" Target="https://doi.org/10.1128/JVI.01003-18" TargetMode="External" /><Relationship Type="http://schemas.openxmlformats.org/officeDocument/2006/relationships/hyperlink" Id="rId89"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09"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36" Target="https://doi.org/10.1158/0008-5472.CAN-21-0805" TargetMode="External" /><Relationship Type="http://schemas.openxmlformats.org/officeDocument/2006/relationships/hyperlink" Id="rId120" Target="https://doi.org/10.1158/2159-8290.CD-22-0489" TargetMode="External" /><Relationship Type="http://schemas.openxmlformats.org/officeDocument/2006/relationships/hyperlink" Id="rId142" Target="https://doi.org/10.1172/jci.insight.162558" TargetMode="External" /><Relationship Type="http://schemas.openxmlformats.org/officeDocument/2006/relationships/hyperlink" Id="rId128" Target="https://doi.org/10.1172/jci.insight.177898" TargetMode="External" /><Relationship Type="http://schemas.openxmlformats.org/officeDocument/2006/relationships/hyperlink" Id="rId144" Target="https://doi.org/10.1186/s12864-020-6483-6" TargetMode="External" /><Relationship Type="http://schemas.openxmlformats.org/officeDocument/2006/relationships/hyperlink" Id="rId166" Target="https://doi.org/10.1186/s13059-019-1891-0" TargetMode="External" /><Relationship Type="http://schemas.openxmlformats.org/officeDocument/2006/relationships/hyperlink" Id="rId148" Target="https://doi.org/10.1371/journal.pone.0163962" TargetMode="External" /><Relationship Type="http://schemas.openxmlformats.org/officeDocument/2006/relationships/hyperlink" Id="rId114" Target="https://doi.org/10.1371/journal.pone.0217942" TargetMode="External" /><Relationship Type="http://schemas.openxmlformats.org/officeDocument/2006/relationships/hyperlink" Id="rId160" Target="https://doi.org/10.1371/journal.ppat.1006783" TargetMode="External" /><Relationship Type="http://schemas.openxmlformats.org/officeDocument/2006/relationships/hyperlink" Id="rId146" Target="https://doi.org/10.64898/2026.04.21.719858" TargetMode="External" /><Relationship Type="http://schemas.openxmlformats.org/officeDocument/2006/relationships/hyperlink" Id="rId58" Target="https://github.com/tpall/hpv-human-skin" TargetMode="External" /><Relationship Type="http://schemas.openxmlformats.org/officeDocument/2006/relationships/hyperlink" Id="rId111" Target="https://mc-stan.org/rstanarm/" TargetMode="External" /><Relationship Type="http://schemas.openxmlformats.org/officeDocument/2006/relationships/hyperlink" Id="rId5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64" Target="https://doi.org/10.1001/jamadermatol.2025.0531" TargetMode="External" /><Relationship Type="http://schemas.openxmlformats.org/officeDocument/2006/relationships/hyperlink" Id="rId130"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62" Target="https://doi.org/10.1007/s00430-011-0212-3" TargetMode="External" /><Relationship Type="http://schemas.openxmlformats.org/officeDocument/2006/relationships/hyperlink" Id="rId150"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1" Target="https://doi.org/10.1016/j.coviro.2019.07.010" TargetMode="External" /><Relationship Type="http://schemas.openxmlformats.org/officeDocument/2006/relationships/hyperlink" Id="rId97" Target="https://doi.org/10.1016/j.virol.2019.08.007"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99" Target="https://doi.org/10.1038/nbt.3820" TargetMode="External" /><Relationship Type="http://schemas.openxmlformats.org/officeDocument/2006/relationships/hyperlink" Id="rId152" Target="https://doi.org/10.1038/s41586-019-1719-9" TargetMode="External" /><Relationship Type="http://schemas.openxmlformats.org/officeDocument/2006/relationships/hyperlink" Id="rId118" Target="https://doi.org/10.1038/s41586-020-3023-0" TargetMode="External" /><Relationship Type="http://schemas.openxmlformats.org/officeDocument/2006/relationships/hyperlink" Id="rId154" Target="https://doi.org/10.1038/s41586-020-3024-z" TargetMode="External" /><Relationship Type="http://schemas.openxmlformats.org/officeDocument/2006/relationships/hyperlink" Id="rId105" Target="https://doi.org/10.1038/s41586-021-04332-2" TargetMode="External" /><Relationship Type="http://schemas.openxmlformats.org/officeDocument/2006/relationships/hyperlink" Id="rId87" Target="https://doi.org/10.1038/srep05807" TargetMode="External" /><Relationship Type="http://schemas.openxmlformats.org/officeDocument/2006/relationships/hyperlink" Id="rId134" Target="https://doi.org/10.1073/pnas.2118930119" TargetMode="External" /><Relationship Type="http://schemas.openxmlformats.org/officeDocument/2006/relationships/hyperlink" Id="rId101" Target="https://doi.org/10.1093/bioinformatics/bts635" TargetMode="External" /><Relationship Type="http://schemas.openxmlformats.org/officeDocument/2006/relationships/hyperlink" Id="rId124" Target="https://doi.org/10.1093/bioinformatics/btt656" TargetMode="External" /><Relationship Type="http://schemas.openxmlformats.org/officeDocument/2006/relationships/hyperlink" Id="rId93" Target="https://doi.org/10.1093/bioinformatics/bty560" TargetMode="External" /><Relationship Type="http://schemas.openxmlformats.org/officeDocument/2006/relationships/hyperlink" Id="rId95" Target="https://doi.org/10.1093/gigascience/giab008" TargetMode="External" /><Relationship Type="http://schemas.openxmlformats.org/officeDocument/2006/relationships/hyperlink" Id="rId138" Target="https://doi.org/10.1093/infdis/jiy577" TargetMode="External" /><Relationship Type="http://schemas.openxmlformats.org/officeDocument/2006/relationships/hyperlink" Id="rId122" Target="https://doi.org/10.1093/nar/gkq1019" TargetMode="External" /><Relationship Type="http://schemas.openxmlformats.org/officeDocument/2006/relationships/hyperlink" Id="rId156" Target="https://doi.org/10.1093/nar/gkw879" TargetMode="External" /><Relationship Type="http://schemas.openxmlformats.org/officeDocument/2006/relationships/hyperlink" Id="rId107" Target="https://doi.org/10.1097/DAD.0000000000001289" TargetMode="External" /><Relationship Type="http://schemas.openxmlformats.org/officeDocument/2006/relationships/hyperlink" Id="rId158" Target="https://doi.org/10.1111/exd.14385" TargetMode="External" /><Relationship Type="http://schemas.openxmlformats.org/officeDocument/2006/relationships/hyperlink" Id="rId132" Target="https://doi.org/10.1111/j.0022-202X.2005.23635.x" TargetMode="External" /><Relationship Type="http://schemas.openxmlformats.org/officeDocument/2006/relationships/hyperlink" Id="rId126" Target="https://doi.org/10.1128/JVI.00093-14" TargetMode="External" /><Relationship Type="http://schemas.openxmlformats.org/officeDocument/2006/relationships/hyperlink" Id="rId116" Target="https://doi.org/10.1128/JVI.00822-15" TargetMode="External" /><Relationship Type="http://schemas.openxmlformats.org/officeDocument/2006/relationships/hyperlink" Id="rId140" Target="https://doi.org/10.1128/JVI.01003-18" TargetMode="External" /><Relationship Type="http://schemas.openxmlformats.org/officeDocument/2006/relationships/hyperlink" Id="rId89"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09"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36" Target="https://doi.org/10.1158/0008-5472.CAN-21-0805" TargetMode="External" /><Relationship Type="http://schemas.openxmlformats.org/officeDocument/2006/relationships/hyperlink" Id="rId120" Target="https://doi.org/10.1158/2159-8290.CD-22-0489" TargetMode="External" /><Relationship Type="http://schemas.openxmlformats.org/officeDocument/2006/relationships/hyperlink" Id="rId142" Target="https://doi.org/10.1172/jci.insight.162558" TargetMode="External" /><Relationship Type="http://schemas.openxmlformats.org/officeDocument/2006/relationships/hyperlink" Id="rId128" Target="https://doi.org/10.1172/jci.insight.177898" TargetMode="External" /><Relationship Type="http://schemas.openxmlformats.org/officeDocument/2006/relationships/hyperlink" Id="rId144" Target="https://doi.org/10.1186/s12864-020-6483-6" TargetMode="External" /><Relationship Type="http://schemas.openxmlformats.org/officeDocument/2006/relationships/hyperlink" Id="rId166" Target="https://doi.org/10.1186/s13059-019-1891-0" TargetMode="External" /><Relationship Type="http://schemas.openxmlformats.org/officeDocument/2006/relationships/hyperlink" Id="rId148" Target="https://doi.org/10.1371/journal.pone.0163962" TargetMode="External" /><Relationship Type="http://schemas.openxmlformats.org/officeDocument/2006/relationships/hyperlink" Id="rId114" Target="https://doi.org/10.1371/journal.pone.0217942" TargetMode="External" /><Relationship Type="http://schemas.openxmlformats.org/officeDocument/2006/relationships/hyperlink" Id="rId160" Target="https://doi.org/10.1371/journal.ppat.1006783" TargetMode="External" /><Relationship Type="http://schemas.openxmlformats.org/officeDocument/2006/relationships/hyperlink" Id="rId146" Target="https://doi.org/10.64898/2026.04.21.719858" TargetMode="External" /><Relationship Type="http://schemas.openxmlformats.org/officeDocument/2006/relationships/hyperlink" Id="rId58" Target="https://github.com/tpall/hpv-human-skin" TargetMode="External" /><Relationship Type="http://schemas.openxmlformats.org/officeDocument/2006/relationships/hyperlink" Id="rId111" Target="https://mc-stan.org/rstanarm/" TargetMode="External" /><Relationship Type="http://schemas.openxmlformats.org/officeDocument/2006/relationships/hyperlink" Id="rId5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2026-08-23T06:41:21Z</dcterms:created>
  <dcterms:modified xsi:type="dcterms:W3CDTF">2026-08-23T06:41:21Z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2026-08-23</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