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3E8FA3"/>
          <w:spacing w:val="30"/>
          <w:sz w:val="17"/>
          <w:szCs w:val="17"/>
        </w:rPr>
        <w:t xml:space="preserve">LOGISTICS — PRODUCTION READINESS  │  ONE-PAGER 04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E3A4F"/>
          <w:sz w:val="40"/>
          <w:szCs w:val="40"/>
        </w:rPr>
        <w:t xml:space="preserve">Change Management</w:t>
      </w:r>
    </w:p>
    <w:p>
      <w:pPr>
        <w:pBdr>
          <w:bottom w:val="single" w:color="1B6B7C" w:sz="12" w:space="8"/>
        </w:pBdr>
        <w:spacing w:after="200"/>
      </w:pPr>
      <w:r>
        <w:rPr>
          <w:rFonts w:ascii="Calibri" w:cs="Calibri" w:eastAsia="Calibri" w:hAnsi="Calibri"/>
          <w:i/>
          <w:iCs/>
          <w:color w:val="5A6B73"/>
          <w:sz w:val="21"/>
          <w:szCs w:val="21"/>
        </w:rPr>
        <w:t xml:space="preserve">Getting underwriters and processors to use it, tell the truth about it, and keep doing so.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 manage the human side of the studio, where most AI pilots actually fail. The technology risk in a 90-day studio is modest and well understood; the adoption risk is not. This document addresses the parallel-run tax, the accountability question, and the specific resistance patterns that appear when experienced credit professionals are asked to work alongside a system that appears to second-guess them.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OWNER &amp; RACI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182"/>
        <w:gridCol w:w="3744"/>
        <w:gridCol w:w="2434"/>
      </w:tblGrid>
      <w:tr>
        <w:trPr>
          <w:tblHeader/>
        </w:trPr>
        <w:tc>
          <w:tcPr>
            <w:tcW w:type="dxa" w:w="318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4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(fill in at G0)</w:t>
            </w:r>
          </w:p>
        </w:tc>
        <w:tc>
          <w:tcPr>
            <w:tcW w:type="dxa" w:w="243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 / A / C / I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Head of Underwriting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owns adoption in the front line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runs the change plan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HR / People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employment narrative, capacity relief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Team leads / supervisors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daily reinforcement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participants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the change happens through them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DECISIONS THIS DOCUMENT MAKES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parallel-run tax is real and is funded.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Shadow mode means doing parts of the work twice. Studio participants receive documented capacity relief; we do not ask for the studio on top of a full pipeline.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Studio participants are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not measured on agreement with Jazz.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Their production metrics are held harmless for the studio period, and disagreement is treated as the primary deliverable.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accountability question is answered before Day 61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: when Jazz is wrong and a human approved it, the human is not penalised provided they followed the documented review process.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Adoption is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measured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not assumed. Usage, feedback volume, and sentiment are tracked weekly as leading indicators of studio validity.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Participation in the studio is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development opportunity with a named benefit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to the participant, stated at selection.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THE FRAMEWORK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The four resistance patterns and what actually works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1684"/>
        <w:gridCol w:w="2433"/>
        <w:gridCol w:w="2246"/>
        <w:gridCol w:w="2997"/>
      </w:tblGrid>
      <w:tr>
        <w:trPr>
          <w:tblHeader/>
        </w:trPr>
        <w:tc>
          <w:tcPr>
            <w:tcW w:type="dxa" w:w="168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2433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Sounds like</w:t>
            </w:r>
          </w:p>
        </w:tc>
        <w:tc>
          <w:tcPr>
            <w:tcW w:type="dxa" w:w="224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2997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Counter-move</w:t>
            </w:r>
          </w:p>
        </w:tc>
      </w:tr>
      <w:tr>
        <w:tc>
          <w:tcPr>
            <w:tcW w:type="dxa" w:w="16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Expertise threat</w:t>
            </w:r>
          </w:p>
        </w:tc>
        <w:tc>
          <w:tcPr>
            <w:tcW w:type="dxa" w:w="24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"It does not understand a self-employed borrower."</w:t>
            </w:r>
          </w:p>
        </w:tc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Identity is bound to hard-won judgement</w:t>
            </w:r>
          </w:p>
        </w:tc>
        <w:tc>
          <w:tcPr>
            <w:tcW w:type="dxa" w:w="29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Put them in the tuning seat. An underwriter who has corrected the system owns the result rather than resisting it.</w:t>
            </w:r>
          </w:p>
        </w:tc>
      </w:tr>
      <w:tr>
        <w:tc>
          <w:tcPr>
            <w:tcW w:type="dxa" w:w="168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Trust deficit</w:t>
            </w:r>
          </w:p>
        </w:tc>
        <w:tc>
          <w:tcPr>
            <w:tcW w:type="dxa" w:w="243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"It was wrong on that file last week."</w:t>
            </w:r>
          </w:p>
        </w:tc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One salient error outweighs fifty silent successes</w:t>
            </w:r>
          </w:p>
        </w:tc>
        <w:tc>
          <w:tcPr>
            <w:tcW w:type="dxa" w:w="29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Publish accuracy openly, including failures. Log every reported error visibly and show the fix.</w:t>
            </w:r>
          </w:p>
        </w:tc>
      </w:tr>
      <w:tr>
        <w:tc>
          <w:tcPr>
            <w:tcW w:type="dxa" w:w="16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Workload resentment</w:t>
            </w:r>
          </w:p>
        </w:tc>
        <w:tc>
          <w:tcPr>
            <w:tcW w:type="dxa" w:w="24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"I do not have time for this on top of my pipeline."</w:t>
            </w:r>
          </w:p>
        </w:tc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Entirely legitimate — shadow adds work</w:t>
            </w:r>
          </w:p>
        </w:tc>
        <w:tc>
          <w:tcPr>
            <w:tcW w:type="dxa" w:w="29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Fund the capacity relief. This is the single highest-leverage intervention available.</w:t>
            </w:r>
          </w:p>
        </w:tc>
      </w:tr>
      <w:tr>
        <w:tc>
          <w:tcPr>
            <w:tcW w:type="dxa" w:w="168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Blame anxiety</w:t>
            </w:r>
          </w:p>
        </w:tc>
        <w:tc>
          <w:tcPr>
            <w:tcW w:type="dxa" w:w="243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"If I approve what it flagged and it is wrong, whose fault is it?"</w:t>
            </w:r>
          </w:p>
        </w:tc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Unanswered accountability</w:t>
            </w:r>
          </w:p>
        </w:tc>
        <w:tc>
          <w:tcPr>
            <w:tcW w:type="dxa" w:w="29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Answer it in writing before Day 61 and have the Head of UW say it out loud.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The parallel-run tax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deserves its own treatment because underestimating it corrupts the evidence. In shadow mode the underwriter does their normal work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reviews what Jazz produced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records where it differed. Realistically that is an added 15–25% of touch time per studio loan in the early weeks, falling as familiarity grows.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If that time is not funded, participants will rush the comparison step. The studio will then produce quality data that reflects rushed humans rather than the system — and the G2 accuracy read will be wrong in a direction nobody can detect. Fund the relief, and record the actual added time as a studio metric in its own right, because it is a real cost that belongs in the business case.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Adoption plan by phase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246"/>
        <w:gridCol w:w="3182"/>
        <w:gridCol w:w="3932"/>
      </w:tblGrid>
      <w:tr>
        <w:trPr>
          <w:tblHeader/>
        </w:trPr>
        <w:tc>
          <w:tcPr>
            <w:tcW w:type="dxa" w:w="224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18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Change objective</w:t>
            </w:r>
          </w:p>
        </w:tc>
        <w:tc>
          <w:tcPr>
            <w:tcW w:type="dxa" w:w="393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Intervention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Pre-Day 1</w:t>
            </w:r>
          </w:p>
        </w:tc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Awareness and safety</w:t>
            </w:r>
          </w:p>
        </w:tc>
        <w:tc>
          <w:tcPr>
            <w:tcW w:type="dxa" w:w="39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Selection conversation with each participant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Written headcount commitment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Metrics held harmless confirmed in writing</w:t>
            </w:r>
          </w:p>
        </w:tc>
      </w:tr>
      <w:tr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Days 1–30</w:t>
            </w:r>
          </w:p>
        </w:tc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Familiarity, not yet performance</w:t>
            </w:r>
          </w:p>
        </w:tc>
        <w:tc>
          <w:tcPr>
            <w:tcW w:type="dxa" w:w="393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Hands-on training with real files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Daily 15-minute debrief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Explicit permission to be slow while learning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Days 31–60</w:t>
            </w:r>
          </w:p>
        </w:tc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Ownership through tuning</w:t>
            </w:r>
          </w:p>
        </w:tc>
        <w:tc>
          <w:tcPr>
            <w:tcW w:type="dxa" w:w="39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Participants drive the tuning backlog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Visible fixes from their feedback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Peer demonstration between participants</w:t>
            </w:r>
          </w:p>
        </w:tc>
      </w:tr>
      <w:tr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Days 61–80</w:t>
            </w:r>
          </w:p>
        </w:tc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Operating under live conditions</w:t>
            </w:r>
          </w:p>
        </w:tc>
        <w:tc>
          <w:tcPr>
            <w:tcW w:type="dxa" w:w="393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Accountability statement issued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Supervisor reinforcement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Rapid defect triage so trust is not lost to a slow fix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Days 81–90</w:t>
            </w:r>
          </w:p>
        </w:tc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Capture and transition</w:t>
            </w:r>
          </w:p>
        </w:tc>
        <w:tc>
          <w:tcPr>
            <w:tcW w:type="dxa" w:w="39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Structured exit interviews with every participant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Participants co-present findings at G4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Named next step for each participant</w:t>
            </w:r>
          </w:p>
        </w:tc>
      </w:tr>
    </w:tbl>
    <w:p>
      <w:pPr>
        <w:spacing w:after="16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ARTIFACTS &amp; TEMPLATES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Adoption metrics — leading indicators of studio validity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433"/>
        <w:gridCol w:w="2620"/>
        <w:gridCol w:w="2059"/>
        <w:gridCol w:w="2248"/>
      </w:tblGrid>
      <w:tr>
        <w:trPr>
          <w:tblHeader/>
        </w:trPr>
        <w:tc>
          <w:tcPr>
            <w:tcW w:type="dxa" w:w="2433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62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measured</w:t>
            </w:r>
          </w:p>
        </w:tc>
        <w:tc>
          <w:tcPr>
            <w:tcW w:type="dxa" w:w="205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Healthy signal</w:t>
            </w:r>
          </w:p>
        </w:tc>
        <w:tc>
          <w:tcPr>
            <w:tcW w:type="dxa" w:w="224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Warning</w:t>
            </w:r>
          </w:p>
        </w:tc>
      </w:tr>
      <w:tr>
        <w:tc>
          <w:tcPr>
            <w:tcW w:type="dxa" w:w="24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Comparison completion rate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loans with a recorded human-vs-Jazz comparison</w:t>
            </w:r>
          </w:p>
        </w:tc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&gt; 95%</w:t>
            </w:r>
          </w:p>
        </w:tc>
        <w:tc>
          <w:tcPr>
            <w:tcW w:type="dxa" w:w="22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Falling — capacity problem</w:t>
            </w:r>
          </w:p>
        </w:tc>
      </w:tr>
      <w:tr>
        <w:tc>
          <w:tcPr>
            <w:tcW w:type="dxa" w:w="243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Feedback volume</w:t>
            </w:r>
          </w:p>
        </w:tc>
        <w:tc>
          <w:tcPr>
            <w:tcW w:type="dxa" w:w="262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Items raised per participant per week</w:t>
            </w:r>
          </w:p>
        </w:tc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Steady or rising</w:t>
            </w:r>
          </w:p>
        </w:tc>
        <w:tc>
          <w:tcPr>
            <w:tcW w:type="dxa" w:w="224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Drops to zero — disengagement, not perfection</w:t>
            </w:r>
          </w:p>
        </w:tc>
      </w:tr>
      <w:tr>
        <w:tc>
          <w:tcPr>
            <w:tcW w:type="dxa" w:w="24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Error reports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Jazz errors flagged by participants</w:t>
            </w:r>
          </w:p>
        </w:tc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Consistent flow</w:t>
            </w:r>
          </w:p>
        </w:tc>
        <w:tc>
          <w:tcPr>
            <w:tcW w:type="dxa" w:w="22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Zero for a week — nobody is looking</w:t>
            </w:r>
          </w:p>
        </w:tc>
      </w:tr>
      <w:tr>
        <w:tc>
          <w:tcPr>
            <w:tcW w:type="dxa" w:w="243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Time-to-fix</w:t>
            </w:r>
          </w:p>
        </w:tc>
        <w:tc>
          <w:tcPr>
            <w:tcW w:type="dxa" w:w="262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Days from participant report to resolved or explained</w:t>
            </w:r>
          </w:p>
        </w:tc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&lt; 7 days</w:t>
            </w:r>
          </w:p>
        </w:tc>
        <w:tc>
          <w:tcPr>
            <w:tcW w:type="dxa" w:w="224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&gt; 14 days kills reporting</w:t>
            </w:r>
          </w:p>
        </w:tc>
      </w:tr>
      <w:tr>
        <w:tc>
          <w:tcPr>
            <w:tcW w:type="dxa" w:w="24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Participant sentiment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One-question weekly pulse</w:t>
            </w:r>
          </w:p>
        </w:tc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Stable or improving</w:t>
            </w:r>
          </w:p>
        </w:tc>
        <w:tc>
          <w:tcPr>
            <w:tcW w:type="dxa" w:w="22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Sharp drop after any process change</w:t>
            </w:r>
          </w:p>
        </w:tc>
      </w:tr>
      <w:tr>
        <w:tc>
          <w:tcPr>
            <w:tcW w:type="dxa" w:w="243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Voluntary use</w:t>
            </w:r>
          </w:p>
        </w:tc>
        <w:tc>
          <w:tcPr>
            <w:tcW w:type="dxa" w:w="262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Once optional, do they still use it?</w:t>
            </w:r>
          </w:p>
        </w:tc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Rising in Phase 3</w:t>
            </w:r>
          </w:p>
        </w:tc>
        <w:tc>
          <w:tcPr>
            <w:tcW w:type="dxa" w:w="224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most honest metric available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Accountability statement — to be signed by the Head of Underwriting before Day 61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42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 to be confirmed</w:t>
            </w:r>
          </w:p>
        </w:tc>
      </w:tr>
      <w:tr>
        <w:tc>
          <w:tcPr>
            <w:tcW w:type="dxa" w:w="39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If Jazz is wrong and I followed the review process, am I at fault?</w:t>
            </w:r>
          </w:p>
        </w:tc>
        <w:tc>
          <w:tcPr>
            <w:tcW w:type="dxa" w:w="542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 — documented process followed means no individual fault</w:t>
            </w:r>
          </w:p>
        </w:tc>
      </w:tr>
      <w:tr>
        <w:tc>
          <w:tcPr>
            <w:tcW w:type="dxa" w:w="393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If I override Jazz and I am right, does that count against me?</w:t>
            </w:r>
          </w:p>
        </w:tc>
        <w:tc>
          <w:tcPr>
            <w:tcW w:type="dxa" w:w="542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 — overrides are expected and are studio data</w:t>
            </w:r>
          </w:p>
        </w:tc>
      </w:tr>
      <w:tr>
        <w:tc>
          <w:tcPr>
            <w:tcW w:type="dxa" w:w="39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If I override Jazz and I am wrong, what happens?</w:t>
            </w:r>
          </w:p>
        </w:tc>
        <w:tc>
          <w:tcPr>
            <w:tcW w:type="dxa" w:w="542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Normal QC process, unchanged from today</w:t>
            </w:r>
          </w:p>
        </w:tc>
      </w:tr>
      <w:tr>
        <w:tc>
          <w:tcPr>
            <w:tcW w:type="dxa" w:w="393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Does my studio work affect my production metrics?</w:t>
            </w:r>
          </w:p>
        </w:tc>
        <w:tc>
          <w:tcPr>
            <w:tcW w:type="dxa" w:w="542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 — held harmless for the studio period</w:t>
            </w:r>
          </w:p>
        </w:tc>
      </w:tr>
      <w:tr>
        <w:tc>
          <w:tcPr>
            <w:tcW w:type="dxa" w:w="39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Who do I tell when something looks wrong?</w:t>
            </w:r>
          </w:p>
        </w:tc>
        <w:tc>
          <w:tcPr>
            <w:tcW w:type="dxa" w:w="542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93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What happens to my role after Day 90?</w:t>
            </w:r>
          </w:p>
        </w:tc>
        <w:tc>
          <w:tcPr>
            <w:tcW w:type="dxa" w:w="542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CADENCE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059"/>
        <w:gridCol w:w="4492"/>
        <w:gridCol w:w="2809"/>
      </w:tblGrid>
      <w:tr>
        <w:trPr>
          <w:tblHeader/>
        </w:trPr>
        <w:tc>
          <w:tcPr>
            <w:tcW w:type="dxa" w:w="205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449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80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Daily (Phase 1)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15-minute debrief — friction, surprises, errors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Observation log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Weekly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Participant pulse plus feedback review in the weekly loop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Sentiment trend, tuning backlog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Biweekly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Supervisor check-in with each participant, one to one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Individual concerns surfaced early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At G2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Readiness conversation — does the team feel safe going live?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Go / no-go input from the front line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At G4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Exit interviews with every participant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Qualitative findings for the evidence pack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Capacity relief documented and actually delivered, not merely promised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Metrics-held-harmless commitment issued in writing before Day 1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Accountability statement signed and communicated before Day 61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Adoption metrics tracked weekly with at least one intervention triggered by them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participant interviewed at exit and their input represented at G4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RISKS &amp; ESCALATION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808"/>
        <w:gridCol w:w="4212"/>
        <w:gridCol w:w="2340"/>
      </w:tblGrid>
      <w:tr>
        <w:trPr>
          <w:tblHeader/>
        </w:trPr>
        <w:tc>
          <w:tcPr>
            <w:tcW w:type="dxa" w:w="280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21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34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Escalates to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Capacity relief promised but not delivered under volume pressure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Sponsor re-confirms release at every gate; comparison completion rate is the early warning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Executive Sponsor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Participants tell the studio what it wants to hear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Dissent explicitly framed as the deliverable; anonymous channel available; watch for feedback volume falling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Best performers selected, so results do not generalise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Deliberate mix of experience levels; documented in the evidence pack as a limitation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Head of Underwriting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Adoption collapses after one visible Jazz failure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Fast, visible triage; publish accuracy including failures from week one so no single error is a surprise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participants return to BAU at Day 91 with no recognition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Named next step and recognition agreed at selection, delivered at close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HR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C" w:sz="4" w:space="6"/>
      </w:pBdr>
    </w:pPr>
    <w:r>
      <w:rPr>
        <w:rFonts w:ascii="Calibri" w:cs="Calibri" w:eastAsia="Calibri" w:hAnsi="Calibri"/>
        <w:color w:val="5A6B73"/>
        <w:sz w:val="16"/>
        <w:szCs w:val="16"/>
      </w:rPr>
      <w:t xml:space="preserve">JazzX Design Studio — 90-Day Framework  │  Change Management   </w:t>
    </w:r>
    <w:r>
      <w:rPr>
        <w:rFonts w:ascii="Calibri" w:cs="Calibri" w:eastAsia="Calibri" w:hAnsi="Calibri"/>
        <w:color w:val="5A6B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3" w:hanging="259"/>
      </w:pPr>
      <w:rPr>
        <w:color w:val="1B6B7C"/>
        <w:sz w:val="21"/>
        <w:szCs w:val="21"/>
      </w:rPr>
    </w:lvl>
    <w:lvl w:ilvl="1" w15:tentative="1">
      <w:start w:val="1"/>
      <w:numFmt w:val="bullet"/>
      <w:lvlText w:val="○"/>
      <w:lvlJc w:val="left"/>
      <w:pPr>
        <w:ind w:left="763" w:hanging="259"/>
      </w:pPr>
      <w:rPr>
        <w:color w:val="5A6B73"/>
        <w:sz w:val="21"/>
        <w:szCs w:val="21"/>
      </w:rPr>
    </w:lvl>
    <w:lvl w:ilvl="2" w15:tentative="1">
      <w:start w:val="1"/>
      <w:numFmt w:val="bullet"/>
      <w:lvlText w:val="▪"/>
      <w:lvlJc w:val="left"/>
      <w:pPr>
        <w:ind w:left="1123" w:hanging="259"/>
      </w:pPr>
      <w:rPr>
        <w:color w:val="5A6B73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  <w:rPr>
        <w:b/>
        <w:bCs/>
        <w:color w:val="1B6B7C"/>
        <w:sz w:val="21"/>
        <w:szCs w:val="21"/>
      </w:rPr>
    </w:lvl>
    <w:lvl w:ilvl="1" w15:tentative="1">
      <w:start w:val="1"/>
      <w:numFmt w:val="lowerLetter"/>
      <w:lvlText w:val="%2."/>
      <w:lvlJc w:val="left"/>
      <w:pPr>
        <w:ind w:left="835" w:hanging="316"/>
      </w:pPr>
      <w:rPr>
        <w:color w:val="5A6B73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Management</dc:title>
  <dc:creator>Design Studio Program Office</dc:creator>
  <dc:description>Getting underwriters and processors to use it, tell the truth about it, and keep doing so.</dc:description>
  <cp:lastModifiedBy>Un-named</cp:lastModifiedBy>
  <cp:revision>1</cp:revision>
  <dcterms:created xsi:type="dcterms:W3CDTF">2026-08-04T00:29:14.430Z</dcterms:created>
  <dcterms:modified xsi:type="dcterms:W3CDTF">2026-08-04T00:29:14.430Z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