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LOGISTICS — DEFINE PROOF OF VALUE  │  ONE-PAGER 06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Baseline, Targets &amp; Success Thresholds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Capturing "before" defensibly, and setting the bar before you can see where the ball landed.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produce a baseline that will survive scrutiny from Finance, Risk, and an auditor, and to set the thresholds that define success before results are visible. This is the highest-risk document in the pack: a baseline cannot be reconstructed after Jazz has begun influencing the workflow, and a threshold set after seeing the data is not a threshold.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Finance / FP&amp;A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attests the baseline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/ BI analyst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builds and validates the capture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Head of Underwriting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attests operational representativeness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runs the observation and assembly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QC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quality baseline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signs the thresholds before G2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baseline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locked at Gate 1 (Day 30)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is never revised afterward using post-Jazz data. Errors found later are documented as limitations, not corrected retroactively.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baseline is drawn from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same loan slice, same team, and same season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as the comparison period, or the mix difference is explicitly adjusted for and disclosed.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Thresholds are set at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three levels — Minimum, Target, Stretch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and are signed by the Sponsor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before Gate 2 evidence exists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Where the sample cannot support a statistical claim, the result is reported as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directional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labelled as such. The studio does not present underpowered findings as proof.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Paired comparison is used wherever shadow mode allows it, because it is dramatically more efficient than comparing separate groups.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Four sources, triangulated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single source is sufficient. LOS timestamps are complete but measure elapsed time rather than effort; observation measures effort accurately but covers few loans. Use them together and reconcile the difference explicitly.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2808"/>
        <w:gridCol w:w="1497"/>
        <w:gridCol w:w="2996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Gives you</w:t>
            </w:r>
          </w:p>
        </w:tc>
        <w:tc>
          <w:tcPr>
            <w:tcW w:type="dxa" w:w="149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Sample</w:t>
            </w:r>
          </w:p>
        </w:tc>
        <w:tc>
          <w:tcPr>
            <w:tcW w:type="dxa" w:w="299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Weakness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LOS event log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Cycle time, touches, queue time, volumes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All loans, 12 months</w:t>
            </w:r>
          </w:p>
        </w:tc>
        <w:tc>
          <w:tcPr>
            <w:tcW w:type="dxa" w:w="29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Elapsed only; event definitions may have changed historically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Structured observation</w:t>
            </w:r>
          </w:p>
        </w:tc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True touch time by task</w:t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20–30 loans</w:t>
            </w:r>
          </w:p>
        </w:tc>
        <w:tc>
          <w:tcPr>
            <w:tcW w:type="dxa" w:w="299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Small sample; observer effect inflates care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QC file review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Defect and quality baseline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Standard QC sample</w:t>
            </w:r>
          </w:p>
        </w:tc>
        <w:tc>
          <w:tcPr>
            <w:tcW w:type="dxa" w:w="29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Lags; sampling may not match the studio slice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Participant time diary</w:t>
            </w:r>
          </w:p>
        </w:tc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Task mix and interruption load</w:t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 weeks, all participants</w:t>
            </w:r>
          </w:p>
        </w:tc>
        <w:tc>
          <w:tcPr>
            <w:tcW w:type="dxa" w:w="299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Self-reported; use for structure, not for headline numbers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Sample size — what 90 days can and cannot prove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 honest about this at G0 rather than discovering it at G4. For rate-type metrics compared across separate groups, the sample sizes required to detect small differences are far larger than a 90-day studio produces. The table below assumes a 20% baseline rate, 5% significance, 80% power.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Use paired comparison wherever possible.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Because shadow runs Jazz on the same loans the humans work, most quality metrics are paired rather than independent — the same file has both a human and a Jazz result. Paired designs typically need a fraction of the sample, and this single design choice does more for the studio's statistical power than any increase in volume.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Target 150–200 shadow loans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as the working plan for the slice, and confirm against the analyst's recomputed numbers at G0.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Cycle-time cannot be paired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it is measured only in the Phase 3 live period, on a smaller sample, and will almost always be directional rather than conclusive. Plan the narrative for that now.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369"/>
        <w:gridCol w:w="2808"/>
        <w:gridCol w:w="3183"/>
      </w:tblGrid>
      <w:tr>
        <w:trPr>
          <w:tblHeader/>
        </w:trPr>
        <w:tc>
          <w:tcPr>
            <w:tcW w:type="dxa" w:w="336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Difference to detect</w:t>
            </w:r>
          </w:p>
        </w:tc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Loans needed per arm</w:t>
            </w:r>
          </w:p>
        </w:tc>
        <w:tc>
          <w:tcPr>
            <w:tcW w:type="dxa" w:w="318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Feasible in 90 days?</w:t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20% → 5% (large)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≈ 75</w:t>
            </w:r>
          </w:p>
        </w:tc>
        <w:tc>
          <w:tcPr>
            <w:tcW w:type="dxa" w:w="31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20% → 10% (moderate)</w:t>
            </w:r>
          </w:p>
        </w:tc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≈ 200</w:t>
            </w:r>
          </w:p>
        </w:tc>
        <w:tc>
          <w:tcPr>
            <w:tcW w:type="dxa" w:w="318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Only at reasonable volume</w:t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20% → 15% (small)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≈ 900</w:t>
            </w:r>
          </w:p>
        </w:tc>
        <w:tc>
          <w:tcPr>
            <w:tcW w:type="dxa" w:w="318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 — report as directional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Indicative two-proportion sizing. Have the analyst recompute using your actual baseline rates at G0.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Mix and seasonality — the silent baseline killer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baseline taken in one month and a comparison taken two months later differ in more than Jazz. Purchase-refi mix, investor guidelines, staffing levels, volume pressure, and month-end effects all move the metrics. Before locking, the analyst produces a mix comparison and either shows the periods are comparable or states the adjustment applied.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Compare loan purpose, occupancy, channel, borrower income type and document complexity across periods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Prefer a 12-month baseline window over a 1-month window where data allows, to average out seasonality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Flag any guideline, staffing or system change inside the window as a documented limitation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Where mix differs materially, report the metric both raw and mix-adjusted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Baseline record — populate and lock at G1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1684"/>
        <w:gridCol w:w="936"/>
        <w:gridCol w:w="2059"/>
        <w:gridCol w:w="1873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68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Baseline value</w:t>
            </w:r>
          </w:p>
        </w:tc>
        <w:tc>
          <w:tcPr>
            <w:tcW w:type="dxa" w:w="93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87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Underwriter touch time / loan</w:t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93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Processor touch time / loan</w:t>
            </w:r>
          </w:p>
        </w:tc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93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Touches per loan</w:t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93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Decision turn time</w:t>
            </w:r>
          </w:p>
        </w:tc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93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Condition turn time</w:t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93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Application to CTC</w:t>
            </w:r>
          </w:p>
        </w:tc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93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Document recognition accuracy</w:t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93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Condition precision / recall</w:t>
            </w:r>
          </w:p>
        </w:tc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93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False clear rate</w:t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93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Rework rate</w:t>
            </w:r>
          </w:p>
        </w:tc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93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Post-close defect rate</w:t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93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Complaints per 100 loans</w:t>
            </w:r>
          </w:p>
        </w:tc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93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Threshold structure — signed before G2 evidence exists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1684"/>
        <w:gridCol w:w="4305"/>
        <w:gridCol w:w="3371"/>
      </w:tblGrid>
      <w:tr>
        <w:trPr>
          <w:tblHeader/>
        </w:trPr>
        <w:tc>
          <w:tcPr>
            <w:tcW w:type="dxa" w:w="168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4305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371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Consequence if not met</w:t>
            </w:r>
          </w:p>
        </w:tc>
      </w:tr>
      <w:tr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Minimum</w:t>
            </w:r>
          </w:p>
        </w:tc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Below this the studio has failed on that metric</w:t>
            </w:r>
          </w:p>
        </w:tc>
        <w:tc>
          <w:tcPr>
            <w:tcW w:type="dxa" w:w="33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Blocks the gate; triggers Extend or Stop</w:t>
            </w:r>
          </w:p>
        </w:tc>
      </w:tr>
      <w:tr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Target</w:t>
            </w:r>
          </w:p>
        </w:tc>
        <w:tc>
          <w:tcPr>
            <w:tcW w:type="dxa" w:w="430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level the business case assumes</w:t>
            </w:r>
          </w:p>
        </w:tc>
        <w:tc>
          <w:tcPr>
            <w:tcW w:type="dxa" w:w="337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Go remains possible but the business case is re-run at the actual number</w:t>
            </w:r>
          </w:p>
        </w:tc>
      </w:tr>
      <w:tr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Stretch</w:t>
            </w:r>
          </w:p>
        </w:tc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Materially better than the business case</w:t>
            </w:r>
          </w:p>
        </w:tc>
        <w:tc>
          <w:tcPr>
            <w:tcW w:type="dxa" w:w="33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Accelerates scale scope and funding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Set Minimum for every metric. Target and Stretch are only required for the metrics carrying the business case.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Threshold register — fill in at G0, sign before G2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995"/>
        <w:gridCol w:w="1591"/>
        <w:gridCol w:w="1591"/>
        <w:gridCol w:w="1591"/>
        <w:gridCol w:w="1592"/>
      </w:tblGrid>
      <w:tr>
        <w:trPr>
          <w:tblHeader/>
        </w:trPr>
        <w:tc>
          <w:tcPr>
            <w:tcW w:type="dxa" w:w="2995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591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1591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1591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5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Stretch</w:t>
            </w:r>
          </w:p>
        </w:tc>
      </w:tr>
      <w:tr>
        <w:tc>
          <w:tcPr>
            <w:tcW w:type="dxa" w:w="29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Underwriter touch time / loan</w:t>
            </w:r>
          </w:p>
        </w:tc>
        <w:tc>
          <w:tcPr>
            <w:tcW w:type="dxa" w:w="15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9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Decision turn time</w:t>
            </w:r>
          </w:p>
        </w:tc>
        <w:tc>
          <w:tcPr>
            <w:tcW w:type="dxa" w:w="159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Document recognition accuracy</w:t>
            </w:r>
          </w:p>
        </w:tc>
        <w:tc>
          <w:tcPr>
            <w:tcW w:type="dxa" w:w="15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9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Condition recall</w:t>
            </w:r>
          </w:p>
        </w:tc>
        <w:tc>
          <w:tcPr>
            <w:tcW w:type="dxa" w:w="159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False clear rate</w:t>
            </w:r>
          </w:p>
        </w:tc>
        <w:tc>
          <w:tcPr>
            <w:tcW w:type="dxa" w:w="15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 worse than baseline</w:t>
            </w:r>
          </w:p>
        </w:tc>
        <w:tc>
          <w:tcPr>
            <w:tcW w:type="dxa" w:w="15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9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Net cost per loan</w:t>
            </w:r>
          </w:p>
        </w:tc>
        <w:tc>
          <w:tcPr>
            <w:tcW w:type="dxa" w:w="159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False clear rate is a guardrail: its Minimum is "no worse than baseline", never an improvement target traded against speed.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Days 1–10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Instrumentation built; historical extract validated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quality report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Days 5–25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Structured observation across participants and loan types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Observation dataset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25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Baseline assembled; mix comparison produced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Draft baseline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28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Review with Finance, UW and QC; challenge session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Issues resolved or documented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30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Baseline attested and locked at G1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Signed baseline record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Before G2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Thresholds signed by the Sponsor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Signed threshold register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Baseline locked, dated, and attested by Finance and Head of Underwriting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Sample size and detectable difference stated per metric, not assumed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Mix comparison produced and any adjustment disclosed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Known limitations written down at lock time rather than discovered at G4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Thresholds signed before Gate 2 evidence is visible, with the signature dated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Baseline never locks because the data is imperfect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Time-boxed to Phase 1; lock with a documented-limitations clause rather than pursuing perfection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Thresholds set after seeing results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Signature is dated and held by Finance; unsigned thresholds block G2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Finance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Historical LOS events defined differently than today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Analyst validates event definitions across the window before use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analyst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Observer effect inflates baseline care and therefore baseline quality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Observe across several days; triangulate against LOS and QC rather than relying on observation alone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Underpowered result presented as proof at G4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Every metric reported with n and a conclusive/directional label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Finance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Sample too small because studio volume was optimistic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Volume tracked weekly from Day 15; shortfall triggers a scope conversation at Day 45, not Day 85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Baseline, Targets &amp; Success Thresholds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Baseline, Targets &amp; Success Thresholds</dc:title>
  <dc:creator>Design Studio Program Office</dc:creator>
  <dc:description>Capturing "before" defensibly, and setting the bar before you can see where the ball landed.</dc:description>
  <cp:lastModifiedBy>Un-named</cp:lastModifiedBy>
  <cp:revision>1</cp:revision>
  <dcterms:created xsi:type="dcterms:W3CDTF">2026-08-04T00:29:14.738Z</dcterms:created>
  <dcterms:modified xsi:type="dcterms:W3CDTF">2026-08-04T00:29:14.738Z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