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EXECUTION — TUNE IN JAZZ  │  ONE-PAGER 17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Next Technology Changes &amp; Build Start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Turning studio findings into a costed engineering backlog — and starting the safe parts now.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convert what the studio learns into a concrete, costed technology roadmap, and to start building the items that are worth building regardless of the Gate 4 outcome. Without this, the studio ends with a recommendation and no execution path, and the three months of insight decay while a scale plan is written from scratch.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/ Engineering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owns the technical roadmap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supplies the findings and priorities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engagement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vendor-side roadmap dependencies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Enterprise architecture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fit with the target state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Finance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costs the roadmap for the business case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Findings are triaged into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tune / build / vendor / accept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four fundamentally different responses that are routinely conflated.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Build work starts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during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studio only for items that are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no-regret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valuable whether or not Jazz is adopted.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Anything Jazz-specific waits for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Gate 4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so a no-go does not strand sunk engineering cost.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roadmap item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costed and sequenced before Gate 4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so the scale decision is made with a real number rather than an intention.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Vendor roadmap dependencies are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written into the record with dates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and unconfirmed dependencies are treated as risks, not plans.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Triage — four responses, not one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497"/>
        <w:gridCol w:w="3931"/>
        <w:gridCol w:w="1872"/>
        <w:gridCol w:w="2060"/>
      </w:tblGrid>
      <w:tr>
        <w:trPr>
          <w:tblHeader/>
        </w:trPr>
        <w:tc>
          <w:tcPr>
            <w:tcW w:type="dxa" w:w="149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</w:t>
            </w:r>
          </w:p>
        </w:tc>
        <w:tc>
          <w:tcPr>
            <w:tcW w:type="dxa" w:w="393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tcW w:type="dxa" w:w="206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Timing</w:t>
            </w:r>
          </w:p>
        </w:tc>
      </w:tr>
      <w:tr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Tune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Fixable within Jazz configuration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This week</w:t>
            </w:r>
          </w:p>
        </w:tc>
      </w:tr>
      <w:tr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Build</w:t>
            </w:r>
          </w:p>
        </w:tc>
        <w:tc>
          <w:tcPr>
            <w:tcW w:type="dxa" w:w="393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Needs work in our systems — integration, data quality, workflow</w:t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</w:t>
            </w:r>
          </w:p>
        </w:tc>
        <w:tc>
          <w:tcPr>
            <w:tcW w:type="dxa" w:w="206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No-regret now; the rest post-G4</w:t>
            </w:r>
          </w:p>
        </w:tc>
      </w:tr>
      <w:tr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Vendor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Needs a JazzX product change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Their roadmap, tracked with dates</w:t>
            </w:r>
          </w:p>
        </w:tc>
      </w:tr>
      <w:tr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Accept</w:t>
            </w:r>
          </w:p>
        </w:tc>
        <w:tc>
          <w:tcPr>
            <w:tcW w:type="dxa" w:w="393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Not economic to fix; the workflow absorbs it</w:t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</w:t>
            </w:r>
          </w:p>
        </w:tc>
        <w:tc>
          <w:tcPr>
            <w:tcW w:type="dxa" w:w="206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Documented as a limitation</w:t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Misfiling a Build item as a Tune item produces weeks of futile prompt engineering. This triage is worth doing carefully.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No-regret build items — safe to start during the studio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These generally pay for themselves through better data and cleaner process regardless of the Gate 4 outcome, and they are the reason a no-go studio still returns value.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Document capture quality at the source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better scans and better borrower upload guidance improve every downstream process, AI or not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Data quality remediation in the LOS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the studio will expose field-level inconsistencies that have been quietly costing money for years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Event instrumentation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the measurement built for the baseline is worth keeping permanently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Document taxonomy standardisation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 consistent naming and classification scheme benefits every system that touches documents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Guideline clarification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every ambiguity the studio surfaced in trying to encode a rule is a real ambiguity affecting human underwriters today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Wait-for-Gate-4 items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LOS write-back and system-of-record automation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Production-grade integration hardening and scaling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Any workflow redesign predicated on Jazz being present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Jazz-specific monitoring, alerting and support tooling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Expansion of data flows to the vendor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Technology roadmap — costed before Gate 4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433"/>
        <w:gridCol w:w="1123"/>
        <w:gridCol w:w="1497"/>
        <w:gridCol w:w="1123"/>
        <w:gridCol w:w="1684"/>
        <w:gridCol w:w="1500"/>
      </w:tblGrid>
      <w:tr>
        <w:trPr>
          <w:tblHeader/>
        </w:trPr>
        <w:tc>
          <w:tcPr>
            <w:tcW w:type="dxa" w:w="243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112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Triage</w:t>
            </w:r>
          </w:p>
        </w:tc>
        <w:tc>
          <w:tcPr>
            <w:tcW w:type="dxa" w:w="149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112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Effort</w:t>
            </w:r>
          </w:p>
        </w:tc>
        <w:tc>
          <w:tcPr>
            <w:tcW w:type="dxa" w:w="168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Depends on</w:t>
            </w:r>
          </w:p>
        </w:tc>
        <w:tc>
          <w:tcPr>
            <w:tcW w:type="dxa" w:w="150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Start</w:t>
            </w:r>
          </w:p>
        </w:tc>
      </w:tr>
      <w:tr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Tune / Build / Vendor / Accept</w:t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 / M / L</w:t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Days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Now / Post-G4</w:t>
            </w:r>
          </w:p>
        </w:tc>
      </w:tr>
      <w:tr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Populated continuously from Day 15; costed and sequenced by Day 80 so Gate 4 has a real number.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Vendor roadmap dependencies — track explicitly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995"/>
        <w:gridCol w:w="1872"/>
        <w:gridCol w:w="1872"/>
        <w:gridCol w:w="2621"/>
      </w:tblGrid>
      <w:tr>
        <w:trPr>
          <w:tblHeader/>
        </w:trPr>
        <w:tc>
          <w:tcPr>
            <w:tcW w:type="dxa" w:w="2995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Capability needed</w:t>
            </w:r>
          </w:p>
        </w:tc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JazzX committed date</w:t>
            </w:r>
          </w:p>
        </w:tc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Confirmed in writing?</w:t>
            </w:r>
          </w:p>
        </w:tc>
        <w:tc>
          <w:tcPr>
            <w:tcW w:type="dxa" w:w="262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Fallback if late</w:t>
            </w:r>
          </w:p>
        </w:tc>
      </w:tr>
      <w:tr>
        <w:tc>
          <w:tcPr>
            <w:tcW w:type="dxa" w:w="299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62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An uncommitted vendor date is a risk on the register, never a line in the plan.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New findings triaged into the four categories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Updated roadmap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Biweekly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Engineering review of build items with IT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Effort estimates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45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No-regret build items started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Work in progress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70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Roadmap costed and sequenced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Draft scale roadmap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80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Roadmap finalised for the Gate 4 pack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Costed roadmap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studio finding triaged into tune / build / vendor / accept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No-regret items started and progressing by Day 45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Full roadmap costed and sequenced before Gate 4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Vendor dependencies documented with dates and written confirmation status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 Jazz-specific engineering committed before the Gate 4 decision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Build work starts on Jazz-specific items and is stranded by a no-go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No-regret test applied before any build starts; Steering approves exceptions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Roadmap not costed, so Gate 4 decides on an intention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Costing is a Day 80 deliverable and a Gate 4 evidence requirement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Finance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Vendor roadmap promises treated as plan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Written confirmation required; unconfirmed items sit on the risk register with fallbacks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Build items misfiled as tuning items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Root-cause discipline in one-pager 15; IT reviews the triage biweekly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quality work deferred and undermines everything downstream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Explicitly listed as no-regret and started at Day 45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lead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Next Technology Changes &amp; Build Start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Next Technology Changes &amp; Build Start</dc:title>
  <dc:creator>Design Studio Program Office</dc:creator>
  <dc:description>Turning studio findings into a costed engineering backlog — and starting the safe parts now.</dc:description>
  <cp:lastModifiedBy>Un-named</cp:lastModifiedBy>
  <cp:revision>1</cp:revision>
  <dcterms:created xsi:type="dcterms:W3CDTF">2026-08-04T00:29:15.259Z</dcterms:created>
  <dcterms:modified xsi:type="dcterms:W3CDTF">2026-08-04T00:29:15.259Z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