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3E8FA3"/>
          <w:spacing w:val="30"/>
          <w:sz w:val="17"/>
          <w:szCs w:val="17"/>
        </w:rPr>
        <w:t xml:space="preserve">TECHNOLOGY — USE CURRENT INTEGRATIONS  │  ONE-PAGER 20</w:t>
      </w:r>
    </w:p>
    <w:p>
      <w:pPr>
        <w:spacing w:after="60"/>
      </w:pPr>
      <w:r>
        <w:rPr>
          <w:rFonts w:ascii="Calibri" w:cs="Calibri" w:eastAsia="Calibri" w:hAnsi="Calibri"/>
          <w:b/>
          <w:bCs/>
          <w:color w:val="0E3A4F"/>
          <w:sz w:val="40"/>
          <w:szCs w:val="40"/>
        </w:rPr>
        <w:t xml:space="preserve">LOS Data Extraction &amp; the Write-Back Decision</w:t>
      </w:r>
    </w:p>
    <w:p>
      <w:pPr>
        <w:pBdr>
          <w:bottom w:val="single" w:color="1B6B7C" w:sz="12" w:space="8"/>
        </w:pBdr>
        <w:spacing w:after="200"/>
      </w:pPr>
      <w:r>
        <w:rPr>
          <w:rFonts w:ascii="Calibri" w:cs="Calibri" w:eastAsia="Calibri" w:hAnsi="Calibri"/>
          <w:i/>
          <w:iCs/>
          <w:color w:val="5A6B73"/>
          <w:sz w:val="21"/>
          <w:szCs w:val="21"/>
        </w:rPr>
        <w:t xml:space="preserve">Reading out is settled and needs designing. Writing back is open and needs deciding.</w:t>
      </w:r>
    </w:p>
    <w:p>
      <w:pPr>
        <w:pBdr>
          <w:bottom w:val="single" w:color="C9D6DC" w:sz="6" w:space="6"/>
        </w:pBdr>
        <w:spacing w:after="140" w:before="280"/>
      </w:pPr>
      <w:r>
        <w:rPr>
          <w:rFonts w:ascii="Calibri" w:cs="Calibri" w:eastAsia="Calibri" w:hAnsi="Calibri"/>
          <w:b/>
          <w:bCs/>
          <w:color w:val="1B6B7C"/>
          <w:spacing w:val="20"/>
          <w:sz w:val="20"/>
          <w:szCs w:val="20"/>
        </w:rPr>
        <w:t xml:space="preserve">PURPOSE</w:t>
      </w:r>
    </w:p>
    <w:p>
      <w:pPr>
        <w:spacing w:after="120" w:line="276"/>
      </w:pPr>
      <w:r>
        <w:rPr>
          <w:rFonts w:ascii="Calibri" w:cs="Calibri" w:eastAsia="Calibri" w:hAnsi="Calibri"/>
          <w:color w:val="1A1A1A"/>
          <w:sz w:val="21"/>
          <w:szCs w:val="21"/>
        </w:rPr>
        <w:t xml:space="preserve">To design how loan data and documents move from the LOS into Jazz, and to frame the open question of whether anything moves back. These are deliberately treated as two separate problems: extraction is an engineering exercise with known patterns, while write-back changes the control model of the entire studio and is therefore a governance decision that engineering should not make by default.</w:t>
      </w:r>
    </w:p>
    <w:p>
      <w:pPr>
        <w:pBdr>
          <w:bottom w:val="single" w:color="C9D6DC" w:sz="6" w:space="6"/>
        </w:pBdr>
        <w:spacing w:after="140" w:before="280"/>
      </w:pPr>
      <w:r>
        <w:rPr>
          <w:rFonts w:ascii="Calibri" w:cs="Calibri" w:eastAsia="Calibri" w:hAnsi="Calibri"/>
          <w:b/>
          <w:bCs/>
          <w:color w:val="1B6B7C"/>
          <w:spacing w:val="20"/>
          <w:sz w:val="20"/>
          <w:szCs w:val="20"/>
        </w:rPr>
        <w:t xml:space="preserve">OWNER &amp; RACI</w:t>
      </w:r>
    </w:p>
    <w:tbl>
      <w:tblPr>
        <w:tblW w:type="dxa" w:w="9360"/>
        <w:tblBorders>
          <w:top w:val="single" w:color="C9D6DC" w:sz="2"/>
          <w:left w:val="single" w:color="C9D6DC" w:sz="2"/>
          <w:bottom w:val="single" w:color="C9D6DC" w:sz="2"/>
          <w:right w:val="single" w:color="C9D6DC" w:sz="2"/>
          <w:insideH w:val="single" w:color="C9D6DC" w:sz="2"/>
          <w:insideV w:val="single" w:color="C9D6DC" w:sz="2"/>
        </w:tblBorders>
      </w:tblPr>
      <w:tblGrid>
        <w:gridCol w:w="3182"/>
        <w:gridCol w:w="3744"/>
        <w:gridCol w:w="2434"/>
      </w:tblGrid>
      <w:tr>
        <w:trPr>
          <w:tblHeader/>
        </w:trPr>
        <w:tc>
          <w:tcPr>
            <w:tcW w:type="dxa" w:w="3182"/>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Role</w:t>
            </w:r>
          </w:p>
        </w:tc>
        <w:tc>
          <w:tcPr>
            <w:tcW w:type="dxa" w:w="3744"/>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Who (fill in at G0)</w:t>
            </w:r>
          </w:p>
        </w:tc>
        <w:tc>
          <w:tcPr>
            <w:tcW w:type="dxa" w:w="2434"/>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R / A / C / I</w:t>
            </w:r>
          </w:p>
        </w:tc>
      </w:tr>
      <w:tr>
        <w:tc>
          <w:tcPr>
            <w:tcW w:type="dxa" w:w="3182"/>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IT / integration engineer</w:t>
            </w:r>
          </w:p>
        </w:tc>
        <w:tc>
          <w:tcPr>
            <w:tcW w:type="dxa" w:w="3744"/>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c>
          <w:tcPr>
            <w:tcW w:type="dxa" w:w="2434"/>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R — designs and builds extraction</w:t>
            </w:r>
          </w:p>
        </w:tc>
      </w:tr>
      <w:tr>
        <w:tc>
          <w:tcPr>
            <w:tcW w:type="dxa" w:w="3182"/>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Enterprise architecture</w:t>
            </w:r>
          </w:p>
        </w:tc>
        <w:tc>
          <w:tcPr>
            <w:tcW w:type="dxa" w:w="3744"/>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c>
          <w:tcPr>
            <w:tcW w:type="dxa" w:w="2434"/>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C — fit with the target state</w:t>
            </w:r>
          </w:p>
        </w:tc>
      </w:tr>
      <w:tr>
        <w:tc>
          <w:tcPr>
            <w:tcW w:type="dxa" w:w="3182"/>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InfoSec</w:t>
            </w:r>
          </w:p>
        </w:tc>
        <w:tc>
          <w:tcPr>
            <w:tcW w:type="dxa" w:w="3744"/>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c>
          <w:tcPr>
            <w:tcW w:type="dxa" w:w="2434"/>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A — approves data classes and transport</w:t>
            </w:r>
          </w:p>
        </w:tc>
      </w:tr>
      <w:tr>
        <w:tc>
          <w:tcPr>
            <w:tcW w:type="dxa" w:w="3182"/>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Studio Lead</w:t>
            </w:r>
          </w:p>
        </w:tc>
        <w:tc>
          <w:tcPr>
            <w:tcW w:type="dxa" w:w="3744"/>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c>
          <w:tcPr>
            <w:tcW w:type="dxa" w:w="2434"/>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R — frames the write-back decision</w:t>
            </w:r>
          </w:p>
        </w:tc>
      </w:tr>
      <w:tr>
        <w:tc>
          <w:tcPr>
            <w:tcW w:type="dxa" w:w="3182"/>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Steering Committee</w:t>
            </w:r>
          </w:p>
        </w:tc>
        <w:tc>
          <w:tcPr>
            <w:tcW w:type="dxa" w:w="3744"/>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c>
          <w:tcPr>
            <w:tcW w:type="dxa" w:w="2434"/>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A — decides on write-back at G2</w:t>
            </w:r>
          </w:p>
        </w:tc>
      </w:tr>
      <w:tr>
        <w:tc>
          <w:tcPr>
            <w:tcW w:type="dxa" w:w="3182"/>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Compliance / Model Risk</w:t>
            </w:r>
          </w:p>
        </w:tc>
        <w:tc>
          <w:tcPr>
            <w:tcW w:type="dxa" w:w="3744"/>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c>
          <w:tcPr>
            <w:tcW w:type="dxa" w:w="2434"/>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C — control implications of write-back</w:t>
            </w:r>
          </w:p>
        </w:tc>
      </w:tr>
    </w:tbl>
    <w:p>
      <w:pPr>
        <w:spacing w:after="120"/>
      </w:pPr>
    </w:p>
    <w:p>
      <w:pPr>
        <w:pBdr>
          <w:bottom w:val="single" w:color="C9D6DC" w:sz="6" w:space="6"/>
        </w:pBdr>
        <w:spacing w:after="140" w:before="280"/>
      </w:pPr>
      <w:r>
        <w:rPr>
          <w:rFonts w:ascii="Calibri" w:cs="Calibri" w:eastAsia="Calibri" w:hAnsi="Calibri"/>
          <w:b/>
          <w:bCs/>
          <w:color w:val="1B6B7C"/>
          <w:spacing w:val="20"/>
          <w:sz w:val="20"/>
          <w:szCs w:val="20"/>
        </w:rPr>
        <w:t xml:space="preserve">DECISIONS THIS DOCUMENT MAKES</w:t>
      </w:r>
    </w:p>
    <w:p>
      <w:pPr>
        <w:pStyle w:val="ListParagraph"/>
        <w:numPr>
          <w:ilvl w:val="0"/>
          <w:numId w:val="2"/>
        </w:numPr>
        <w:spacing w:after="80" w:line="276"/>
      </w:pPr>
      <w:r>
        <w:rPr>
          <w:rFonts w:ascii="Calibri" w:cs="Calibri" w:eastAsia="Calibri" w:hAnsi="Calibri"/>
          <w:color w:val="1A1A1A"/>
          <w:sz w:val="21"/>
          <w:szCs w:val="21"/>
        </w:rPr>
        <w:t xml:space="preserve">Extraction is </w:t>
      </w:r>
      <w:r>
        <w:rPr>
          <w:rFonts w:ascii="Calibri" w:cs="Calibri" w:eastAsia="Calibri" w:hAnsi="Calibri"/>
          <w:b/>
          <w:bCs/>
          <w:color w:val="1A1A1A"/>
          <w:sz w:val="21"/>
          <w:szCs w:val="21"/>
        </w:rPr>
        <w:t xml:space="preserve">read-only for the whole shadow phase</w:t>
      </w:r>
      <w:r>
        <w:rPr>
          <w:rFonts w:ascii="Calibri" w:cs="Calibri" w:eastAsia="Calibri" w:hAnsi="Calibri"/>
          <w:color w:val="1A1A1A"/>
          <w:sz w:val="21"/>
          <w:szCs w:val="21"/>
        </w:rPr>
        <w:t xml:space="preserve">. This is not a technical limitation; it is the studio's primary control, and it is what makes "a human decides every loan" evidenceable rather than merely asserted.</w:t>
      </w:r>
    </w:p>
    <w:p>
      <w:pPr>
        <w:pStyle w:val="ListParagraph"/>
        <w:numPr>
          <w:ilvl w:val="0"/>
          <w:numId w:val="2"/>
        </w:numPr>
        <w:spacing w:after="80" w:line="276"/>
      </w:pPr>
      <w:r>
        <w:rPr>
          <w:rFonts w:ascii="Calibri" w:cs="Calibri" w:eastAsia="Calibri" w:hAnsi="Calibri"/>
          <w:color w:val="1A1A1A"/>
          <w:sz w:val="21"/>
          <w:szCs w:val="21"/>
        </w:rPr>
        <w:t xml:space="preserve">The write-back question is </w:t>
      </w:r>
      <w:r>
        <w:rPr>
          <w:rFonts w:ascii="Calibri" w:cs="Calibri" w:eastAsia="Calibri" w:hAnsi="Calibri"/>
          <w:b/>
          <w:bCs/>
          <w:color w:val="1A1A1A"/>
          <w:sz w:val="21"/>
          <w:szCs w:val="21"/>
        </w:rPr>
        <w:t xml:space="preserve">decided at Gate 2</w:t>
      </w:r>
      <w:r>
        <w:rPr>
          <w:rFonts w:ascii="Calibri" w:cs="Calibri" w:eastAsia="Calibri" w:hAnsi="Calibri"/>
          <w:color w:val="1A1A1A"/>
          <w:sz w:val="21"/>
          <w:szCs w:val="21"/>
        </w:rPr>
        <w:t xml:space="preserve">, using the criteria in this document, and the default answer is no.</w:t>
      </w:r>
    </w:p>
    <w:p>
      <w:pPr>
        <w:pStyle w:val="ListParagraph"/>
        <w:numPr>
          <w:ilvl w:val="0"/>
          <w:numId w:val="2"/>
        </w:numPr>
        <w:spacing w:after="80" w:line="276"/>
      </w:pPr>
      <w:r>
        <w:rPr>
          <w:rFonts w:ascii="Calibri" w:cs="Calibri" w:eastAsia="Calibri" w:hAnsi="Calibri"/>
          <w:color w:val="1A1A1A"/>
          <w:sz w:val="21"/>
          <w:szCs w:val="21"/>
        </w:rPr>
        <w:t xml:space="preserve">Where write-back is approved, it goes </w:t>
      </w:r>
      <w:r>
        <w:rPr>
          <w:rFonts w:ascii="Calibri" w:cs="Calibri" w:eastAsia="Calibri" w:hAnsi="Calibri"/>
          <w:b/>
          <w:bCs/>
          <w:color w:val="1A1A1A"/>
          <w:sz w:val="21"/>
          <w:szCs w:val="21"/>
        </w:rPr>
        <w:t xml:space="preserve">no further than a review queue</w:t>
      </w:r>
      <w:r>
        <w:rPr>
          <w:rFonts w:ascii="Calibri" w:cs="Calibri" w:eastAsia="Calibri" w:hAnsi="Calibri"/>
          <w:color w:val="1A1A1A"/>
          <w:sz w:val="21"/>
          <w:szCs w:val="21"/>
        </w:rPr>
        <w:t xml:space="preserve">. Jazz never writes directly to a system-of-record field during the 90 days.</w:t>
      </w:r>
    </w:p>
    <w:p>
      <w:pPr>
        <w:pStyle w:val="ListParagraph"/>
        <w:numPr>
          <w:ilvl w:val="0"/>
          <w:numId w:val="2"/>
        </w:numPr>
        <w:spacing w:after="80" w:line="276"/>
      </w:pPr>
      <w:r>
        <w:rPr>
          <w:rFonts w:ascii="Calibri" w:cs="Calibri" w:eastAsia="Calibri" w:hAnsi="Calibri"/>
          <w:color w:val="1A1A1A"/>
          <w:sz w:val="21"/>
          <w:szCs w:val="21"/>
        </w:rPr>
        <w:t xml:space="preserve">Extraction fidelity is </w:t>
      </w:r>
      <w:r>
        <w:rPr>
          <w:rFonts w:ascii="Calibri" w:cs="Calibri" w:eastAsia="Calibri" w:hAnsi="Calibri"/>
          <w:b/>
          <w:bCs/>
          <w:color w:val="1A1A1A"/>
          <w:sz w:val="21"/>
          <w:szCs w:val="21"/>
        </w:rPr>
        <w:t xml:space="preserve">measured, not assumed.</w:t>
      </w:r>
      <w:r>
        <w:rPr>
          <w:rFonts w:ascii="Calibri" w:cs="Calibri" w:eastAsia="Calibri" w:hAnsi="Calibri"/>
          <w:color w:val="1A1A1A"/>
          <w:sz w:val="21"/>
          <w:szCs w:val="21"/>
        </w:rPr>
        <w:t xml:space="preserve"> What Jazz received is reconciled against what we hold, because pipeline defects masquerade as model defects and waste weeks of tuning.</w:t>
      </w:r>
    </w:p>
    <w:p>
      <w:pPr>
        <w:pStyle w:val="ListParagraph"/>
        <w:numPr>
          <w:ilvl w:val="0"/>
          <w:numId w:val="2"/>
        </w:numPr>
        <w:spacing w:after="80" w:line="276"/>
      </w:pPr>
      <w:r>
        <w:rPr>
          <w:rFonts w:ascii="Calibri" w:cs="Calibri" w:eastAsia="Calibri" w:hAnsi="Calibri"/>
          <w:color w:val="1A1A1A"/>
          <w:sz w:val="21"/>
          <w:szCs w:val="21"/>
        </w:rPr>
        <w:t xml:space="preserve">Design is organised around </w:t>
      </w:r>
      <w:r>
        <w:rPr>
          <w:rFonts w:ascii="Calibri" w:cs="Calibri" w:eastAsia="Calibri" w:hAnsi="Calibri"/>
          <w:b/>
          <w:bCs/>
          <w:color w:val="1A1A1A"/>
          <w:sz w:val="21"/>
          <w:szCs w:val="21"/>
        </w:rPr>
        <w:t xml:space="preserve">capabilities and questions</w:t>
      </w:r>
      <w:r>
        <w:rPr>
          <w:rFonts w:ascii="Calibri" w:cs="Calibri" w:eastAsia="Calibri" w:hAnsi="Calibri"/>
          <w:color w:val="1A1A1A"/>
          <w:sz w:val="21"/>
          <w:szCs w:val="21"/>
        </w:rPr>
        <w:t xml:space="preserve">, not a named platform, so it survives an LOS change or a multi-platform environment.</w:t>
      </w:r>
    </w:p>
    <w:p>
      <w:pPr>
        <w:pBdr>
          <w:bottom w:val="single" w:color="C9D6DC" w:sz="6" w:space="6"/>
        </w:pBdr>
        <w:spacing w:after="140" w:before="280"/>
      </w:pPr>
      <w:r>
        <w:rPr>
          <w:rFonts w:ascii="Calibri" w:cs="Calibri" w:eastAsia="Calibri" w:hAnsi="Calibri"/>
          <w:b/>
          <w:bCs/>
          <w:color w:val="1B6B7C"/>
          <w:spacing w:val="20"/>
          <w:sz w:val="20"/>
          <w:szCs w:val="20"/>
        </w:rPr>
        <w:t xml:space="preserve">THE FRAMEWORK</w:t>
      </w:r>
    </w:p>
    <w:p>
      <w:pPr>
        <w:spacing w:after="80" w:before="200"/>
      </w:pPr>
      <w:r>
        <w:rPr>
          <w:rFonts w:ascii="Calibri" w:cs="Calibri" w:eastAsia="Calibri" w:hAnsi="Calibri"/>
          <w:b/>
          <w:bCs/>
          <w:color w:val="0E3A4F"/>
          <w:sz w:val="22"/>
          <w:szCs w:val="22"/>
        </w:rPr>
        <w:t xml:space="preserve">Part 1 — Extraction: what moves and how</w:t>
      </w:r>
    </w:p>
    <w:tbl>
      <w:tblPr>
        <w:tblW w:type="dxa" w:w="9360"/>
        <w:tblBorders>
          <w:top w:val="single" w:color="C9D6DC" w:sz="2"/>
          <w:left w:val="single" w:color="C9D6DC" w:sz="2"/>
          <w:bottom w:val="single" w:color="C9D6DC" w:sz="2"/>
          <w:right w:val="single" w:color="C9D6DC" w:sz="2"/>
          <w:insideH w:val="single" w:color="C9D6DC" w:sz="2"/>
          <w:insideV w:val="single" w:color="C9D6DC" w:sz="2"/>
        </w:tblBorders>
      </w:tblPr>
      <w:tblGrid>
        <w:gridCol w:w="2059"/>
        <w:gridCol w:w="3182"/>
        <w:gridCol w:w="1497"/>
        <w:gridCol w:w="2622"/>
      </w:tblGrid>
      <w:tr>
        <w:trPr>
          <w:tblHeader/>
        </w:trPr>
        <w:tc>
          <w:tcPr>
            <w:tcW w:type="dxa" w:w="2059"/>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Data class</w:t>
            </w:r>
          </w:p>
        </w:tc>
        <w:tc>
          <w:tcPr>
            <w:tcW w:type="dxa" w:w="3182"/>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Examples</w:t>
            </w:r>
          </w:p>
        </w:tc>
        <w:tc>
          <w:tcPr>
            <w:tcW w:type="dxa" w:w="1497"/>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Sensitivity</w:t>
            </w:r>
          </w:p>
        </w:tc>
        <w:tc>
          <w:tcPr>
            <w:tcW w:type="dxa" w:w="2622"/>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Note</w:t>
            </w:r>
          </w:p>
        </w:tc>
      </w:tr>
      <w:tr>
        <w:tc>
          <w:tcPr>
            <w:tcW w:type="dxa" w:w="2059"/>
            <w:tcMar>
              <w:top w:type="dxa" w:w="80"/>
              <w:left w:type="dxa" w:w="110"/>
              <w:bottom w:type="dxa" w:w="80"/>
              <w:right w:type="dxa" w:w="110"/>
            </w:tcMar>
          </w:tcPr>
          <w:p>
            <w:pPr>
              <w:spacing w:after="0" w:line="260"/>
            </w:pPr>
            <w:r>
              <w:rPr>
                <w:rFonts w:ascii="Calibri" w:cs="Calibri" w:eastAsia="Calibri" w:hAnsi="Calibri"/>
                <w:b/>
                <w:bCs/>
                <w:color w:val="1A1A1A"/>
                <w:sz w:val="21"/>
                <w:szCs w:val="21"/>
              </w:rPr>
              <w:t xml:space="preserve">Documents</w:t>
            </w:r>
          </w:p>
        </w:tc>
        <w:tc>
          <w:tcPr>
            <w:tcW w:type="dxa" w:w="3182"/>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Paystubs, W-2s, bank statements, VOE, appraisal</w:t>
            </w:r>
          </w:p>
        </w:tc>
        <w:tc>
          <w:tcPr>
            <w:tcW w:type="dxa" w:w="1497"/>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High</w:t>
            </w:r>
          </w:p>
        </w:tc>
        <w:tc>
          <w:tcPr>
            <w:tcW w:type="dxa" w:w="2622"/>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The core payload; fidelity matters more than anything else here</w:t>
            </w:r>
          </w:p>
        </w:tc>
      </w:tr>
      <w:tr>
        <w:tc>
          <w:tcPr>
            <w:tcW w:type="dxa" w:w="2059"/>
            <w:shd w:fill="F2F6F8" w:color="auto" w:val="clear"/>
            <w:tcMar>
              <w:top w:type="dxa" w:w="80"/>
              <w:left w:type="dxa" w:w="110"/>
              <w:bottom w:type="dxa" w:w="80"/>
              <w:right w:type="dxa" w:w="110"/>
            </w:tcMar>
          </w:tcPr>
          <w:p>
            <w:pPr>
              <w:spacing w:after="0" w:line="260"/>
            </w:pPr>
            <w:r>
              <w:rPr>
                <w:rFonts w:ascii="Calibri" w:cs="Calibri" w:eastAsia="Calibri" w:hAnsi="Calibri"/>
                <w:b/>
                <w:bCs/>
                <w:color w:val="1A1A1A"/>
                <w:sz w:val="21"/>
                <w:szCs w:val="21"/>
              </w:rPr>
              <w:t xml:space="preserve">Loan data fields</w:t>
            </w:r>
          </w:p>
        </w:tc>
        <w:tc>
          <w:tcPr>
            <w:tcW w:type="dxa" w:w="3182"/>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Loan amount, purpose, occupancy, property, product</w:t>
            </w:r>
          </w:p>
        </w:tc>
        <w:tc>
          <w:tcPr>
            <w:tcW w:type="dxa" w:w="1497"/>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Medium</w:t>
            </w:r>
          </w:p>
        </w:tc>
        <w:tc>
          <w:tcPr>
            <w:tcW w:type="dxa" w:w="2622"/>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Needed for Jazz to reason in context</w:t>
            </w:r>
          </w:p>
        </w:tc>
      </w:tr>
      <w:tr>
        <w:tc>
          <w:tcPr>
            <w:tcW w:type="dxa" w:w="2059"/>
            <w:tcMar>
              <w:top w:type="dxa" w:w="80"/>
              <w:left w:type="dxa" w:w="110"/>
              <w:bottom w:type="dxa" w:w="80"/>
              <w:right w:type="dxa" w:w="110"/>
            </w:tcMar>
          </w:tcPr>
          <w:p>
            <w:pPr>
              <w:spacing w:after="0" w:line="260"/>
            </w:pPr>
            <w:r>
              <w:rPr>
                <w:rFonts w:ascii="Calibri" w:cs="Calibri" w:eastAsia="Calibri" w:hAnsi="Calibri"/>
                <w:b/>
                <w:bCs/>
                <w:color w:val="1A1A1A"/>
                <w:sz w:val="21"/>
                <w:szCs w:val="21"/>
              </w:rPr>
              <w:t xml:space="preserve">Borrower data</w:t>
            </w:r>
          </w:p>
        </w:tc>
        <w:tc>
          <w:tcPr>
            <w:tcW w:type="dxa" w:w="3182"/>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Income figures, employment, assets, liabilities</w:t>
            </w:r>
          </w:p>
        </w:tc>
        <w:tc>
          <w:tcPr>
            <w:tcW w:type="dxa" w:w="1497"/>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High</w:t>
            </w:r>
          </w:p>
        </w:tc>
        <w:tc>
          <w:tcPr>
            <w:tcW w:type="dxa" w:w="2622"/>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Minimise aggressively — send what the use case needs</w:t>
            </w:r>
          </w:p>
        </w:tc>
      </w:tr>
      <w:tr>
        <w:tc>
          <w:tcPr>
            <w:tcW w:type="dxa" w:w="2059"/>
            <w:shd w:fill="F2F6F8" w:color="auto" w:val="clear"/>
            <w:tcMar>
              <w:top w:type="dxa" w:w="80"/>
              <w:left w:type="dxa" w:w="110"/>
              <w:bottom w:type="dxa" w:w="80"/>
              <w:right w:type="dxa" w:w="110"/>
            </w:tcMar>
          </w:tcPr>
          <w:p>
            <w:pPr>
              <w:spacing w:after="0" w:line="260"/>
            </w:pPr>
            <w:r>
              <w:rPr>
                <w:rFonts w:ascii="Calibri" w:cs="Calibri" w:eastAsia="Calibri" w:hAnsi="Calibri"/>
                <w:b/>
                <w:bCs/>
                <w:color w:val="1A1A1A"/>
                <w:sz w:val="21"/>
                <w:szCs w:val="21"/>
              </w:rPr>
              <w:t xml:space="preserve">Workflow events</w:t>
            </w:r>
          </w:p>
        </w:tc>
        <w:tc>
          <w:tcPr>
            <w:tcW w:type="dxa" w:w="3182"/>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Assignment, milestone dates, status changes</w:t>
            </w:r>
          </w:p>
        </w:tc>
        <w:tc>
          <w:tcPr>
            <w:tcW w:type="dxa" w:w="1497"/>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Low</w:t>
            </w:r>
          </w:p>
        </w:tc>
        <w:tc>
          <w:tcPr>
            <w:tcW w:type="dxa" w:w="2622"/>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Needed for cycle-time measurement more than for Jazz itself</w:t>
            </w:r>
          </w:p>
        </w:tc>
      </w:tr>
      <w:tr>
        <w:tc>
          <w:tcPr>
            <w:tcW w:type="dxa" w:w="2059"/>
            <w:tcMar>
              <w:top w:type="dxa" w:w="80"/>
              <w:left w:type="dxa" w:w="110"/>
              <w:bottom w:type="dxa" w:w="80"/>
              <w:right w:type="dxa" w:w="110"/>
            </w:tcMar>
          </w:tcPr>
          <w:p>
            <w:pPr>
              <w:spacing w:after="0" w:line="260"/>
            </w:pPr>
            <w:r>
              <w:rPr>
                <w:rFonts w:ascii="Calibri" w:cs="Calibri" w:eastAsia="Calibri" w:hAnsi="Calibri"/>
                <w:b/>
                <w:bCs/>
                <w:color w:val="1A1A1A"/>
                <w:sz w:val="21"/>
                <w:szCs w:val="21"/>
              </w:rPr>
              <w:t xml:space="preserve">Conditions</w:t>
            </w:r>
          </w:p>
        </w:tc>
        <w:tc>
          <w:tcPr>
            <w:tcW w:type="dxa" w:w="3182"/>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Open conditions and their status</w:t>
            </w:r>
          </w:p>
        </w:tc>
        <w:tc>
          <w:tcPr>
            <w:tcW w:type="dxa" w:w="1497"/>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Medium</w:t>
            </w:r>
          </w:p>
        </w:tc>
        <w:tc>
          <w:tcPr>
            <w:tcW w:type="dxa" w:w="2622"/>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Sourced from MU rather than the LOS — see one-pager 21</w:t>
            </w:r>
          </w:p>
        </w:tc>
      </w:tr>
    </w:tbl>
    <w:p>
      <w:pPr>
        <w:spacing w:after="160" w:before="80"/>
      </w:pPr>
      <w:r>
        <w:rPr>
          <w:rFonts w:ascii="Calibri" w:cs="Calibri" w:eastAsia="Calibri" w:hAnsi="Calibri"/>
          <w:i/>
          <w:iCs/>
          <w:color w:val="5A6B73"/>
          <w:sz w:val="18"/>
          <w:szCs w:val="18"/>
        </w:rPr>
        <w:t xml:space="preserve">Anything not on this list is not sent. Adding a class is an InfoSec and Steering decision.</w:t>
      </w:r>
    </w:p>
    <w:p>
      <w:pPr>
        <w:spacing w:after="80" w:before="200"/>
      </w:pPr>
      <w:r>
        <w:rPr>
          <w:rFonts w:ascii="Calibri" w:cs="Calibri" w:eastAsia="Calibri" w:hAnsi="Calibri"/>
          <w:b/>
          <w:bCs/>
          <w:color w:val="0E3A4F"/>
          <w:sz w:val="22"/>
          <w:szCs w:val="22"/>
        </w:rPr>
        <w:t xml:space="preserve">Extraction patterns — choose on coupling and auditability</w:t>
      </w:r>
    </w:p>
    <w:tbl>
      <w:tblPr>
        <w:tblW w:type="dxa" w:w="9360"/>
        <w:tblBorders>
          <w:top w:val="single" w:color="C9D6DC" w:sz="2"/>
          <w:left w:val="single" w:color="C9D6DC" w:sz="2"/>
          <w:bottom w:val="single" w:color="C9D6DC" w:sz="2"/>
          <w:right w:val="single" w:color="C9D6DC" w:sz="2"/>
          <w:insideH w:val="single" w:color="C9D6DC" w:sz="2"/>
          <w:insideV w:val="single" w:color="C9D6DC" w:sz="2"/>
        </w:tblBorders>
      </w:tblPr>
      <w:tblGrid>
        <w:gridCol w:w="1497"/>
        <w:gridCol w:w="2620"/>
        <w:gridCol w:w="2620"/>
        <w:gridCol w:w="2623"/>
      </w:tblGrid>
      <w:tr>
        <w:trPr>
          <w:tblHeader/>
        </w:trPr>
        <w:tc>
          <w:tcPr>
            <w:tcW w:type="dxa" w:w="1497"/>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Pattern</w:t>
            </w:r>
          </w:p>
        </w:tc>
        <w:tc>
          <w:tcPr>
            <w:tcW w:type="dxa" w:w="2620"/>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How it works</w:t>
            </w:r>
          </w:p>
        </w:tc>
        <w:tc>
          <w:tcPr>
            <w:tcW w:type="dxa" w:w="2620"/>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Choose when</w:t>
            </w:r>
          </w:p>
        </w:tc>
        <w:tc>
          <w:tcPr>
            <w:tcW w:type="dxa" w:w="2623"/>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Watch for</w:t>
            </w:r>
          </w:p>
        </w:tc>
      </w:tr>
      <w:tr>
        <w:tc>
          <w:tcPr>
            <w:tcW w:type="dxa" w:w="1497"/>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API pull</w:t>
            </w:r>
          </w:p>
        </w:tc>
        <w:tc>
          <w:tcPr>
            <w:tcW w:type="dxa" w:w="2620"/>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Jazz-side or middleware calls our API on trigger</w:t>
            </w:r>
          </w:p>
        </w:tc>
        <w:tc>
          <w:tcPr>
            <w:tcW w:type="dxa" w:w="2620"/>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We have a stable service layer</w:t>
            </w:r>
          </w:p>
        </w:tc>
        <w:tc>
          <w:tcPr>
            <w:tcW w:type="dxa" w:w="2623"/>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Rate limits; auth token lifecycle</w:t>
            </w:r>
          </w:p>
        </w:tc>
      </w:tr>
      <w:tr>
        <w:tc>
          <w:tcPr>
            <w:tcW w:type="dxa" w:w="1497"/>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Event push</w:t>
            </w:r>
          </w:p>
        </w:tc>
        <w:tc>
          <w:tcPr>
            <w:tcW w:type="dxa" w:w="2620"/>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We publish an event and push the payload</w:t>
            </w:r>
          </w:p>
        </w:tc>
        <w:tc>
          <w:tcPr>
            <w:tcW w:type="dxa" w:w="2620"/>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We already have an event backbone</w:t>
            </w:r>
          </w:p>
        </w:tc>
        <w:tc>
          <w:tcPr>
            <w:tcW w:type="dxa" w:w="2623"/>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Delivery guarantees; replay on failure</w:t>
            </w:r>
          </w:p>
        </w:tc>
      </w:tr>
      <w:tr>
        <w:tc>
          <w:tcPr>
            <w:tcW w:type="dxa" w:w="1497"/>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Batch export</w:t>
            </w:r>
          </w:p>
        </w:tc>
        <w:tc>
          <w:tcPr>
            <w:tcW w:type="dxa" w:w="2620"/>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Scheduled export of a cohort</w:t>
            </w:r>
          </w:p>
        </w:tc>
        <w:tc>
          <w:tcPr>
            <w:tcW w:type="dxa" w:w="2620"/>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Volume is low and latency tolerance is high</w:t>
            </w:r>
          </w:p>
        </w:tc>
        <w:tc>
          <w:tcPr>
            <w:tcW w:type="dxa" w:w="2623"/>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Latency makes output arrive after the human has finished</w:t>
            </w:r>
          </w:p>
        </w:tc>
      </w:tr>
      <w:tr>
        <w:tc>
          <w:tcPr>
            <w:tcW w:type="dxa" w:w="1497"/>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File drop</w:t>
            </w:r>
          </w:p>
        </w:tc>
        <w:tc>
          <w:tcPr>
            <w:tcW w:type="dxa" w:w="2620"/>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Documents landed in a monitored secure location</w:t>
            </w:r>
          </w:p>
        </w:tc>
        <w:tc>
          <w:tcPr>
            <w:tcW w:type="dxa" w:w="2620"/>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Simplest path for document-heavy payloads</w:t>
            </w:r>
          </w:p>
        </w:tc>
        <w:tc>
          <w:tcPr>
            <w:tcW w:type="dxa" w:w="2623"/>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Weakest audit trail; needs manifest reconciliation</w:t>
            </w:r>
          </w:p>
        </w:tc>
      </w:tr>
      <w:tr>
        <w:tc>
          <w:tcPr>
            <w:tcW w:type="dxa" w:w="1497"/>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Direct DB read</w:t>
            </w:r>
          </w:p>
        </w:tc>
        <w:tc>
          <w:tcPr>
            <w:tcW w:type="dxa" w:w="2620"/>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Read replica queried directly</w:t>
            </w:r>
          </w:p>
        </w:tc>
        <w:tc>
          <w:tcPr>
            <w:tcW w:type="dxa" w:w="2620"/>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No service layer exists</w:t>
            </w:r>
          </w:p>
        </w:tc>
        <w:tc>
          <w:tcPr>
            <w:tcW w:type="dxa" w:w="2623"/>
            <w:tcMar>
              <w:top w:type="dxa" w:w="80"/>
              <w:left w:type="dxa" w:w="110"/>
              <w:bottom w:type="dxa" w:w="80"/>
              <w:right w:type="dxa" w:w="110"/>
            </w:tcMar>
          </w:tcPr>
          <w:p>
            <w:pPr>
              <w:spacing w:after="0" w:line="260"/>
            </w:pPr>
            <w:r>
              <w:rPr>
                <w:rFonts w:ascii="Calibri" w:cs="Calibri" w:eastAsia="Calibri" w:hAnsi="Calibri"/>
                <w:b/>
                <w:bCs/>
                <w:color w:val="1A1A1A"/>
                <w:sz w:val="21"/>
                <w:szCs w:val="21"/>
              </w:rPr>
              <w:t xml:space="preserve">Highest coupling</w:t>
            </w:r>
            <w:r>
              <w:rPr>
                <w:rFonts w:ascii="Calibri" w:cs="Calibri" w:eastAsia="Calibri" w:hAnsi="Calibri"/>
                <w:color w:val="1A1A1A"/>
                <w:sz w:val="21"/>
                <w:szCs w:val="21"/>
              </w:rPr>
              <w:t xml:space="preserve"> — avoid; it makes every schema change a studio outage</w:t>
            </w:r>
          </w:p>
        </w:tc>
      </w:tr>
    </w:tbl>
    <w:p>
      <w:pPr>
        <w:spacing w:after="160" w:before="80"/>
      </w:pPr>
      <w:r>
        <w:rPr>
          <w:rFonts w:ascii="Calibri" w:cs="Calibri" w:eastAsia="Calibri" w:hAnsi="Calibri"/>
          <w:i/>
          <w:iCs/>
          <w:color w:val="5A6B73"/>
          <w:sz w:val="18"/>
          <w:szCs w:val="18"/>
        </w:rPr>
        <w:t xml:space="preserve">For an in-house LOS, the pattern that minimises long-term coupling usually beats the one that is fastest to stand up — the studio lasts 90 days, the coupling lasts years.</w:t>
      </w:r>
    </w:p>
    <w:p>
      <w:pPr>
        <w:spacing w:after="80" w:before="200"/>
      </w:pPr>
      <w:r>
        <w:rPr>
          <w:rFonts w:ascii="Calibri" w:cs="Calibri" w:eastAsia="Calibri" w:hAnsi="Calibri"/>
          <w:b/>
          <w:bCs/>
          <w:color w:val="0E3A4F"/>
          <w:sz w:val="22"/>
          <w:szCs w:val="22"/>
        </w:rPr>
        <w:t xml:space="preserve">Fidelity — the defect class that looks like a model failure</w:t>
      </w:r>
    </w:p>
    <w:p>
      <w:pPr>
        <w:spacing w:after="120" w:line="276"/>
      </w:pPr>
      <w:r>
        <w:rPr>
          <w:rFonts w:ascii="Calibri" w:cs="Calibri" w:eastAsia="Calibri" w:hAnsi="Calibri"/>
          <w:color w:val="1A1A1A"/>
          <w:sz w:val="21"/>
          <w:szCs w:val="21"/>
        </w:rPr>
        <w:t xml:space="preserve">The most common "Jazz got it wrong" finding in an early studio is not a model problem at all. It is a truncated PDF, a page dropped in transfer, an image downsampled past legibility, or a multi-page document split incorrectly. These present exactly like reasoning failures and absorb enormous tuning effort before anyone checks the pipeline.</w:t>
      </w:r>
    </w:p>
    <w:p>
      <w:pPr>
        <w:pStyle w:val="ListParagraph"/>
        <w:numPr>
          <w:ilvl w:val="0"/>
          <w:numId w:val="3"/>
        </w:numPr>
        <w:spacing w:after="80" w:line="276"/>
      </w:pPr>
      <w:r>
        <w:rPr>
          <w:rFonts w:ascii="Calibri" w:cs="Calibri" w:eastAsia="Calibri" w:hAnsi="Calibri"/>
          <w:b/>
          <w:bCs/>
          <w:color w:val="1A1A1A"/>
          <w:sz w:val="21"/>
          <w:szCs w:val="21"/>
        </w:rPr>
        <w:t xml:space="preserve">Reconcile every send</w:t>
      </w:r>
      <w:r>
        <w:rPr>
          <w:rFonts w:ascii="Calibri" w:cs="Calibri" w:eastAsia="Calibri" w:hAnsi="Calibri"/>
          <w:color w:val="1A1A1A"/>
          <w:sz w:val="21"/>
          <w:szCs w:val="21"/>
        </w:rPr>
        <w:t xml:space="preserve">: page count, file size and checksum for documents; field count for data</w:t>
      </w:r>
    </w:p>
    <w:p>
      <w:pPr>
        <w:pStyle w:val="ListParagraph"/>
        <w:numPr>
          <w:ilvl w:val="0"/>
          <w:numId w:val="3"/>
        </w:numPr>
        <w:spacing w:after="80" w:line="276"/>
      </w:pPr>
      <w:r>
        <w:rPr>
          <w:rFonts w:ascii="Calibri" w:cs="Calibri" w:eastAsia="Calibri" w:hAnsi="Calibri"/>
          <w:color w:val="1A1A1A"/>
          <w:sz w:val="21"/>
          <w:szCs w:val="21"/>
        </w:rPr>
        <w:t xml:space="preserve">Sample-audit visually — open what Jazz received, not what we think we sent, at least weekly in the first month</w:t>
      </w:r>
    </w:p>
    <w:p>
      <w:pPr>
        <w:pStyle w:val="ListParagraph"/>
        <w:numPr>
          <w:ilvl w:val="0"/>
          <w:numId w:val="3"/>
        </w:numPr>
        <w:spacing w:after="80" w:line="276"/>
      </w:pPr>
      <w:r>
        <w:rPr>
          <w:rFonts w:ascii="Calibri" w:cs="Calibri" w:eastAsia="Calibri" w:hAnsi="Calibri"/>
          <w:color w:val="1A1A1A"/>
          <w:sz w:val="21"/>
          <w:szCs w:val="21"/>
        </w:rPr>
        <w:t xml:space="preserve">Preserve original resolution; never let a transfer step re-compress documents</w:t>
      </w:r>
    </w:p>
    <w:p>
      <w:pPr>
        <w:pStyle w:val="ListParagraph"/>
        <w:numPr>
          <w:ilvl w:val="0"/>
          <w:numId w:val="3"/>
        </w:numPr>
        <w:spacing w:after="80" w:line="276"/>
      </w:pPr>
      <w:r>
        <w:rPr>
          <w:rFonts w:ascii="Calibri" w:cs="Calibri" w:eastAsia="Calibri" w:hAnsi="Calibri"/>
          <w:color w:val="1A1A1A"/>
          <w:sz w:val="21"/>
          <w:szCs w:val="21"/>
        </w:rPr>
        <w:t xml:space="preserve">Log a manifest per loan so any disputed output can be traced to exactly what was available</w:t>
      </w:r>
    </w:p>
    <w:p>
      <w:pPr>
        <w:pStyle w:val="ListParagraph"/>
        <w:numPr>
          <w:ilvl w:val="0"/>
          <w:numId w:val="3"/>
        </w:numPr>
        <w:spacing w:after="80" w:line="276"/>
      </w:pPr>
      <w:r>
        <w:rPr>
          <w:rFonts w:ascii="Calibri" w:cs="Calibri" w:eastAsia="Calibri" w:hAnsi="Calibri"/>
          <w:color w:val="1A1A1A"/>
          <w:sz w:val="21"/>
          <w:szCs w:val="21"/>
        </w:rPr>
        <w:t xml:space="preserve">Make "pipeline defect" an explicit root-cause category in the tuning workflow (one-pager 15), and check it first</w:t>
      </w:r>
    </w:p>
    <w:p>
      <w:pPr>
        <w:spacing w:after="80" w:before="200"/>
      </w:pPr>
      <w:r>
        <w:rPr>
          <w:rFonts w:ascii="Calibri" w:cs="Calibri" w:eastAsia="Calibri" w:hAnsi="Calibri"/>
          <w:b/>
          <w:bCs/>
          <w:color w:val="0E3A4F"/>
          <w:sz w:val="22"/>
          <w:szCs w:val="22"/>
        </w:rPr>
        <w:t xml:space="preserve">Part 2 — The write-back decision</w:t>
      </w:r>
    </w:p>
    <w:p>
      <w:pPr>
        <w:spacing w:after="120" w:line="276"/>
      </w:pPr>
      <w:r>
        <w:rPr>
          <w:rFonts w:ascii="Calibri" w:cs="Calibri" w:eastAsia="Calibri" w:hAnsi="Calibri"/>
          <w:color w:val="1A1A1A"/>
          <w:sz w:val="21"/>
          <w:szCs w:val="21"/>
        </w:rPr>
        <w:t xml:space="preserve">Write-back is not a bigger version of extraction. It changes what the studio is. While data flows one way, the claim "a qualified human made every decision and Jazz influenced nothing without review" is structurally true and easy to evidence. Once Jazz writes into systems that carry the loan forward, that claim depends on process discipline rather than architecture — and process discipline is exactly what an auditor will probe.</w:t>
      </w:r>
    </w:p>
    <w:tbl>
      <w:tblPr>
        <w:tblW w:type="dxa" w:w="9360"/>
        <w:tblBorders>
          <w:top w:val="single" w:color="C9D6DC" w:sz="2"/>
          <w:left w:val="single" w:color="C9D6DC" w:sz="2"/>
          <w:bottom w:val="single" w:color="C9D6DC" w:sz="2"/>
          <w:right w:val="single" w:color="C9D6DC" w:sz="2"/>
          <w:insideH w:val="single" w:color="C9D6DC" w:sz="2"/>
          <w:insideV w:val="single" w:color="C9D6DC" w:sz="2"/>
        </w:tblBorders>
      </w:tblPr>
      <w:tblGrid>
        <w:gridCol w:w="936"/>
        <w:gridCol w:w="2808"/>
        <w:gridCol w:w="2995"/>
        <w:gridCol w:w="2621"/>
      </w:tblGrid>
      <w:tr>
        <w:trPr>
          <w:tblHeader/>
        </w:trPr>
        <w:tc>
          <w:tcPr>
            <w:tcW w:type="dxa" w:w="936"/>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Level</w:t>
            </w:r>
          </w:p>
        </w:tc>
        <w:tc>
          <w:tcPr>
            <w:tcW w:type="dxa" w:w="2808"/>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What it means</w:t>
            </w:r>
          </w:p>
        </w:tc>
        <w:tc>
          <w:tcPr>
            <w:tcW w:type="dxa" w:w="2995"/>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Control implication</w:t>
            </w:r>
          </w:p>
        </w:tc>
        <w:tc>
          <w:tcPr>
            <w:tcW w:type="dxa" w:w="2621"/>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Studio position</w:t>
            </w:r>
          </w:p>
        </w:tc>
      </w:tr>
      <w:tr>
        <w:tc>
          <w:tcPr>
            <w:tcW w:type="dxa" w:w="936"/>
            <w:tcMar>
              <w:top w:type="dxa" w:w="80"/>
              <w:left w:type="dxa" w:w="110"/>
              <w:bottom w:type="dxa" w:w="80"/>
              <w:right w:type="dxa" w:w="110"/>
            </w:tcMar>
          </w:tcPr>
          <w:p>
            <w:pPr>
              <w:spacing w:after="0" w:line="260"/>
            </w:pPr>
            <w:r>
              <w:rPr>
                <w:rFonts w:ascii="Calibri" w:cs="Calibri" w:eastAsia="Calibri" w:hAnsi="Calibri"/>
                <w:b/>
                <w:bCs/>
                <w:color w:val="1A1A1A"/>
                <w:sz w:val="21"/>
                <w:szCs w:val="21"/>
              </w:rPr>
              <w:t xml:space="preserve">L0</w:t>
            </w:r>
          </w:p>
        </w:tc>
        <w:tc>
          <w:tcPr>
            <w:tcW w:type="dxa" w:w="2808"/>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No write-back. Jazz output viewed in Jazz only</w:t>
            </w:r>
          </w:p>
        </w:tc>
        <w:tc>
          <w:tcPr>
            <w:tcW w:type="dxa" w:w="2995"/>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Strongest. Architecture guarantees the control</w:t>
            </w:r>
          </w:p>
        </w:tc>
        <w:tc>
          <w:tcPr>
            <w:tcW w:type="dxa" w:w="2621"/>
            <w:tcMar>
              <w:top w:type="dxa" w:w="80"/>
              <w:left w:type="dxa" w:w="110"/>
              <w:bottom w:type="dxa" w:w="80"/>
              <w:right w:type="dxa" w:w="110"/>
            </w:tcMar>
          </w:tcPr>
          <w:p>
            <w:pPr>
              <w:spacing w:after="0" w:line="260"/>
            </w:pPr>
            <w:r>
              <w:rPr>
                <w:rFonts w:ascii="Calibri" w:cs="Calibri" w:eastAsia="Calibri" w:hAnsi="Calibri"/>
                <w:b/>
                <w:bCs/>
                <w:color w:val="1A1A1A"/>
                <w:sz w:val="21"/>
                <w:szCs w:val="21"/>
              </w:rPr>
              <w:t xml:space="preserve">Default for Days 1–60</w:t>
            </w:r>
          </w:p>
        </w:tc>
      </w:tr>
      <w:tr>
        <w:tc>
          <w:tcPr>
            <w:tcW w:type="dxa" w:w="936"/>
            <w:shd w:fill="F2F6F8" w:color="auto" w:val="clear"/>
            <w:tcMar>
              <w:top w:type="dxa" w:w="80"/>
              <w:left w:type="dxa" w:w="110"/>
              <w:bottom w:type="dxa" w:w="80"/>
              <w:right w:type="dxa" w:w="110"/>
            </w:tcMar>
          </w:tcPr>
          <w:p>
            <w:pPr>
              <w:spacing w:after="0" w:line="260"/>
            </w:pPr>
            <w:r>
              <w:rPr>
                <w:rFonts w:ascii="Calibri" w:cs="Calibri" w:eastAsia="Calibri" w:hAnsi="Calibri"/>
                <w:b/>
                <w:bCs/>
                <w:color w:val="1A1A1A"/>
                <w:sz w:val="21"/>
                <w:szCs w:val="21"/>
              </w:rPr>
              <w:t xml:space="preserve">L1</w:t>
            </w:r>
          </w:p>
        </w:tc>
        <w:tc>
          <w:tcPr>
            <w:tcW w:type="dxa" w:w="2808"/>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Human reads Jazz output and keys it in manually</w:t>
            </w:r>
          </w:p>
        </w:tc>
        <w:tc>
          <w:tcPr>
            <w:tcW w:type="dxa" w:w="2995"/>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Strong. Human is unambiguously the author</w:t>
            </w:r>
          </w:p>
        </w:tc>
        <w:tc>
          <w:tcPr>
            <w:tcW w:type="dxa" w:w="2621"/>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Acceptable at any time; measure the keying cost as review overhead</w:t>
            </w:r>
          </w:p>
        </w:tc>
      </w:tr>
      <w:tr>
        <w:tc>
          <w:tcPr>
            <w:tcW w:type="dxa" w:w="936"/>
            <w:tcMar>
              <w:top w:type="dxa" w:w="80"/>
              <w:left w:type="dxa" w:w="110"/>
              <w:bottom w:type="dxa" w:w="80"/>
              <w:right w:type="dxa" w:w="110"/>
            </w:tcMar>
          </w:tcPr>
          <w:p>
            <w:pPr>
              <w:spacing w:after="0" w:line="260"/>
            </w:pPr>
            <w:r>
              <w:rPr>
                <w:rFonts w:ascii="Calibri" w:cs="Calibri" w:eastAsia="Calibri" w:hAnsi="Calibri"/>
                <w:b/>
                <w:bCs/>
                <w:color w:val="1A1A1A"/>
                <w:sz w:val="21"/>
                <w:szCs w:val="21"/>
              </w:rPr>
              <w:t xml:space="preserve">L2</w:t>
            </w:r>
          </w:p>
        </w:tc>
        <w:tc>
          <w:tcPr>
            <w:tcW w:type="dxa" w:w="2808"/>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Jazz writes to a staging area or review queue; nothing is live until a human accepts</w:t>
            </w:r>
          </w:p>
        </w:tc>
        <w:tc>
          <w:tcPr>
            <w:tcW w:type="dxa" w:w="2995"/>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Adequate if acceptance is affirmative, logged, and nothing defaults to accepted</w:t>
            </w:r>
          </w:p>
        </w:tc>
        <w:tc>
          <w:tcPr>
            <w:tcW w:type="dxa" w:w="2621"/>
            <w:tcMar>
              <w:top w:type="dxa" w:w="80"/>
              <w:left w:type="dxa" w:w="110"/>
              <w:bottom w:type="dxa" w:w="80"/>
              <w:right w:type="dxa" w:w="110"/>
            </w:tcMar>
          </w:tcPr>
          <w:p>
            <w:pPr>
              <w:spacing w:after="0" w:line="260"/>
            </w:pPr>
            <w:r>
              <w:rPr>
                <w:rFonts w:ascii="Calibri" w:cs="Calibri" w:eastAsia="Calibri" w:hAnsi="Calibri"/>
                <w:b/>
                <w:bCs/>
                <w:color w:val="1A1A1A"/>
                <w:sz w:val="21"/>
                <w:szCs w:val="21"/>
              </w:rPr>
              <w:t xml:space="preserve">Ceiling for the 90 days</w:t>
            </w:r>
            <w:r>
              <w:rPr>
                <w:rFonts w:ascii="Calibri" w:cs="Calibri" w:eastAsia="Calibri" w:hAnsi="Calibri"/>
                <w:color w:val="1A1A1A"/>
                <w:sz w:val="21"/>
                <w:szCs w:val="21"/>
              </w:rPr>
              <w:t xml:space="preserve">, if approved at G2</w:t>
            </w:r>
          </w:p>
        </w:tc>
      </w:tr>
      <w:tr>
        <w:tc>
          <w:tcPr>
            <w:tcW w:type="dxa" w:w="936"/>
            <w:shd w:fill="F2F6F8" w:color="auto" w:val="clear"/>
            <w:tcMar>
              <w:top w:type="dxa" w:w="80"/>
              <w:left w:type="dxa" w:w="110"/>
              <w:bottom w:type="dxa" w:w="80"/>
              <w:right w:type="dxa" w:w="110"/>
            </w:tcMar>
          </w:tcPr>
          <w:p>
            <w:pPr>
              <w:spacing w:after="0" w:line="260"/>
            </w:pPr>
            <w:r>
              <w:rPr>
                <w:rFonts w:ascii="Calibri" w:cs="Calibri" w:eastAsia="Calibri" w:hAnsi="Calibri"/>
                <w:b/>
                <w:bCs/>
                <w:color w:val="1A1A1A"/>
                <w:sz w:val="21"/>
                <w:szCs w:val="21"/>
              </w:rPr>
              <w:t xml:space="preserve">L3</w:t>
            </w:r>
          </w:p>
        </w:tc>
        <w:tc>
          <w:tcPr>
            <w:tcW w:type="dxa" w:w="2808"/>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Jazz writes directly to system-of-record fields</w:t>
            </w:r>
          </w:p>
        </w:tc>
        <w:tc>
          <w:tcPr>
            <w:tcW w:type="dxa" w:w="2995"/>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Weak during a studio. Provenance, reversibility and audit trail all become bespoke build</w:t>
            </w:r>
          </w:p>
        </w:tc>
        <w:tc>
          <w:tcPr>
            <w:tcW w:type="dxa" w:w="2621"/>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Deferred past G4</w:t>
            </w:r>
          </w:p>
        </w:tc>
      </w:tr>
    </w:tbl>
    <w:p>
      <w:pPr>
        <w:spacing w:after="160"/>
      </w:pPr>
    </w:p>
    <w:p>
      <w:pPr>
        <w:spacing w:after="80" w:before="200"/>
      </w:pPr>
      <w:r>
        <w:rPr>
          <w:rFonts w:ascii="Calibri" w:cs="Calibri" w:eastAsia="Calibri" w:hAnsi="Calibri"/>
          <w:b/>
          <w:bCs/>
          <w:color w:val="0E3A4F"/>
          <w:sz w:val="22"/>
          <w:szCs w:val="22"/>
        </w:rPr>
        <w:t xml:space="preserve">What must be true before any write-back is approved</w:t>
      </w:r>
    </w:p>
    <w:p>
      <w:pPr>
        <w:pStyle w:val="ListParagraph"/>
        <w:numPr>
          <w:ilvl w:val="0"/>
          <w:numId w:val="4"/>
        </w:numPr>
        <w:spacing w:after="80" w:line="276"/>
      </w:pPr>
      <w:r>
        <w:rPr>
          <w:rFonts w:ascii="Calibri" w:cs="Calibri" w:eastAsia="Calibri" w:hAnsi="Calibri"/>
          <w:b/>
          <w:bCs/>
          <w:color w:val="1A1A1A"/>
          <w:sz w:val="21"/>
          <w:szCs w:val="21"/>
        </w:rPr>
        <w:t xml:space="preserve">Provenance on every field</w:t>
      </w:r>
      <w:r>
        <w:rPr>
          <w:rFonts w:ascii="Calibri" w:cs="Calibri" w:eastAsia="Calibri" w:hAnsi="Calibri"/>
          <w:color w:val="1A1A1A"/>
          <w:sz w:val="21"/>
          <w:szCs w:val="21"/>
        </w:rPr>
        <w:t xml:space="preserve"> — the record shows the value originated from Jazz, and who accepted it.</w:t>
      </w:r>
    </w:p>
    <w:p>
      <w:pPr>
        <w:pStyle w:val="ListParagraph"/>
        <w:numPr>
          <w:ilvl w:val="0"/>
          <w:numId w:val="4"/>
        </w:numPr>
        <w:spacing w:after="80" w:line="276"/>
      </w:pPr>
      <w:r>
        <w:rPr>
          <w:rFonts w:ascii="Calibri" w:cs="Calibri" w:eastAsia="Calibri" w:hAnsi="Calibri"/>
          <w:b/>
          <w:bCs/>
          <w:color w:val="1A1A1A"/>
          <w:sz w:val="21"/>
          <w:szCs w:val="21"/>
        </w:rPr>
        <w:t xml:space="preserve">Affirmative acceptance</w:t>
      </w:r>
      <w:r>
        <w:rPr>
          <w:rFonts w:ascii="Calibri" w:cs="Calibri" w:eastAsia="Calibri" w:hAnsi="Calibri"/>
          <w:color w:val="1A1A1A"/>
          <w:sz w:val="21"/>
          <w:szCs w:val="21"/>
        </w:rPr>
        <w:t xml:space="preserve"> — nothing becomes live by timeout, default or bulk action.</w:t>
      </w:r>
    </w:p>
    <w:p>
      <w:pPr>
        <w:pStyle w:val="ListParagraph"/>
        <w:numPr>
          <w:ilvl w:val="0"/>
          <w:numId w:val="4"/>
        </w:numPr>
        <w:spacing w:after="80" w:line="276"/>
      </w:pPr>
      <w:r>
        <w:rPr>
          <w:rFonts w:ascii="Calibri" w:cs="Calibri" w:eastAsia="Calibri" w:hAnsi="Calibri"/>
          <w:b/>
          <w:bCs/>
          <w:color w:val="1A1A1A"/>
          <w:sz w:val="21"/>
          <w:szCs w:val="21"/>
        </w:rPr>
        <w:t xml:space="preserve">Reversibility</w:t>
      </w:r>
      <w:r>
        <w:rPr>
          <w:rFonts w:ascii="Calibri" w:cs="Calibri" w:eastAsia="Calibri" w:hAnsi="Calibri"/>
          <w:color w:val="1A1A1A"/>
          <w:sz w:val="21"/>
          <w:szCs w:val="21"/>
        </w:rPr>
        <w:t xml:space="preserve"> — any Jazz-originated value can be reverted with the prior value intact.</w:t>
      </w:r>
    </w:p>
    <w:p>
      <w:pPr>
        <w:pStyle w:val="ListParagraph"/>
        <w:numPr>
          <w:ilvl w:val="0"/>
          <w:numId w:val="4"/>
        </w:numPr>
        <w:spacing w:after="80" w:line="276"/>
      </w:pPr>
      <w:r>
        <w:rPr>
          <w:rFonts w:ascii="Calibri" w:cs="Calibri" w:eastAsia="Calibri" w:hAnsi="Calibri"/>
          <w:b/>
          <w:bCs/>
          <w:color w:val="1A1A1A"/>
          <w:sz w:val="21"/>
          <w:szCs w:val="21"/>
        </w:rPr>
        <w:t xml:space="preserve">No silent overwrite</w:t>
      </w:r>
      <w:r>
        <w:rPr>
          <w:rFonts w:ascii="Calibri" w:cs="Calibri" w:eastAsia="Calibri" w:hAnsi="Calibri"/>
          <w:color w:val="1A1A1A"/>
          <w:sz w:val="21"/>
          <w:szCs w:val="21"/>
        </w:rPr>
        <w:t xml:space="preserve"> — Jazz never replaces a human-entered value without surfacing the conflict.</w:t>
      </w:r>
    </w:p>
    <w:p>
      <w:pPr>
        <w:pStyle w:val="ListParagraph"/>
        <w:numPr>
          <w:ilvl w:val="0"/>
          <w:numId w:val="4"/>
        </w:numPr>
        <w:spacing w:after="80" w:line="276"/>
      </w:pPr>
      <w:r>
        <w:rPr>
          <w:rFonts w:ascii="Calibri" w:cs="Calibri" w:eastAsia="Calibri" w:hAnsi="Calibri"/>
          <w:b/>
          <w:bCs/>
          <w:color w:val="1A1A1A"/>
          <w:sz w:val="21"/>
          <w:szCs w:val="21"/>
        </w:rPr>
        <w:t xml:space="preserve">Audit trail</w:t>
      </w:r>
      <w:r>
        <w:rPr>
          <w:rFonts w:ascii="Calibri" w:cs="Calibri" w:eastAsia="Calibri" w:hAnsi="Calibri"/>
          <w:color w:val="1A1A1A"/>
          <w:sz w:val="21"/>
          <w:szCs w:val="21"/>
        </w:rPr>
        <w:t xml:space="preserve"> sufficient to reconstruct, for any loan, what Jazz proposed and what a human did about it.</w:t>
      </w:r>
    </w:p>
    <w:p>
      <w:pPr>
        <w:pStyle w:val="ListParagraph"/>
        <w:numPr>
          <w:ilvl w:val="0"/>
          <w:numId w:val="4"/>
        </w:numPr>
        <w:spacing w:after="80" w:line="276"/>
      </w:pPr>
      <w:r>
        <w:rPr>
          <w:rFonts w:ascii="Calibri" w:cs="Calibri" w:eastAsia="Calibri" w:hAnsi="Calibri"/>
          <w:b/>
          <w:bCs/>
          <w:color w:val="1A1A1A"/>
          <w:sz w:val="21"/>
          <w:szCs w:val="21"/>
        </w:rPr>
        <w:t xml:space="preserve">Compliance and Model Risk sign-off</w:t>
      </w:r>
      <w:r>
        <w:rPr>
          <w:rFonts w:ascii="Calibri" w:cs="Calibri" w:eastAsia="Calibri" w:hAnsi="Calibri"/>
          <w:color w:val="1A1A1A"/>
          <w:sz w:val="21"/>
          <w:szCs w:val="21"/>
        </w:rPr>
        <w:t xml:space="preserve"> specifically on write-back, separate from the G2 live authorisation.</w:t>
      </w:r>
    </w:p>
    <w:p>
      <w:pPr>
        <w:pStyle w:val="ListParagraph"/>
        <w:numPr>
          <w:ilvl w:val="0"/>
          <w:numId w:val="4"/>
        </w:numPr>
        <w:spacing w:after="80" w:line="276"/>
      </w:pPr>
      <w:r>
        <w:rPr>
          <w:rFonts w:ascii="Calibri" w:cs="Calibri" w:eastAsia="Calibri" w:hAnsi="Calibri"/>
          <w:b/>
          <w:bCs/>
          <w:color w:val="1A1A1A"/>
          <w:sz w:val="21"/>
          <w:szCs w:val="21"/>
        </w:rPr>
        <w:t xml:space="preserve">A removal path</w:t>
      </w:r>
      <w:r>
        <w:rPr>
          <w:rFonts w:ascii="Calibri" w:cs="Calibri" w:eastAsia="Calibri" w:hAnsi="Calibri"/>
          <w:color w:val="1A1A1A"/>
          <w:sz w:val="21"/>
          <w:szCs w:val="21"/>
        </w:rPr>
        <w:t xml:space="preserve"> — if the answer at G4 is no-go, the write path can be disabled without leaving orphaned data in the system of record.</w:t>
      </w:r>
    </w:p>
    <w:p>
      <w:pPr>
        <w:pBdr>
          <w:bottom w:val="single" w:color="C9D6DC" w:sz="6" w:space="6"/>
        </w:pBdr>
        <w:spacing w:after="140" w:before="280"/>
      </w:pPr>
      <w:r>
        <w:rPr>
          <w:rFonts w:ascii="Calibri" w:cs="Calibri" w:eastAsia="Calibri" w:hAnsi="Calibri"/>
          <w:b/>
          <w:bCs/>
          <w:color w:val="1B6B7C"/>
          <w:spacing w:val="20"/>
          <w:sz w:val="20"/>
          <w:szCs w:val="20"/>
        </w:rPr>
        <w:t xml:space="preserve">ARTIFACTS &amp; TEMPLATES</w:t>
      </w:r>
    </w:p>
    <w:p>
      <w:pPr>
        <w:spacing w:after="80" w:before="200"/>
      </w:pPr>
      <w:r>
        <w:rPr>
          <w:rFonts w:ascii="Calibri" w:cs="Calibri" w:eastAsia="Calibri" w:hAnsi="Calibri"/>
          <w:b/>
          <w:bCs/>
          <w:color w:val="0E3A4F"/>
          <w:sz w:val="22"/>
          <w:szCs w:val="22"/>
        </w:rPr>
        <w:t xml:space="preserve">Extraction design record — complete before G0</w:t>
      </w:r>
    </w:p>
    <w:tbl>
      <w:tblPr>
        <w:tblW w:type="dxa" w:w="9360"/>
        <w:tblBorders>
          <w:top w:val="single" w:color="C9D6DC" w:sz="2"/>
          <w:left w:val="single" w:color="C9D6DC" w:sz="2"/>
          <w:bottom w:val="single" w:color="C9D6DC" w:sz="2"/>
          <w:right w:val="single" w:color="C9D6DC" w:sz="2"/>
          <w:insideH w:val="single" w:color="C9D6DC" w:sz="2"/>
          <w:insideV w:val="single" w:color="C9D6DC" w:sz="2"/>
        </w:tblBorders>
      </w:tblPr>
      <w:tblGrid>
        <w:gridCol w:w="3931"/>
        <w:gridCol w:w="5429"/>
      </w:tblGrid>
      <w:tr>
        <w:trPr>
          <w:tblHeader/>
        </w:trPr>
        <w:tc>
          <w:tcPr>
            <w:tcW w:type="dxa" w:w="3931"/>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Item</w:t>
            </w:r>
          </w:p>
        </w:tc>
        <w:tc>
          <w:tcPr>
            <w:tcW w:type="dxa" w:w="5429"/>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Decision</w:t>
            </w:r>
          </w:p>
        </w:tc>
      </w:tr>
      <w:tr>
        <w:tc>
          <w:tcPr>
            <w:tcW w:type="dxa" w:w="3931"/>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Extraction pattern chosen</w:t>
            </w:r>
          </w:p>
        </w:tc>
        <w:tc>
          <w:tcPr>
            <w:tcW w:type="dxa" w:w="5429"/>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r>
      <w:tr>
        <w:tc>
          <w:tcPr>
            <w:tcW w:type="dxa" w:w="3931"/>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Why this pattern (coupling / auditability)</w:t>
            </w:r>
          </w:p>
        </w:tc>
        <w:tc>
          <w:tcPr>
            <w:tcW w:type="dxa" w:w="5429"/>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r>
      <w:tr>
        <w:tc>
          <w:tcPr>
            <w:tcW w:type="dxa" w:w="3931"/>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Data classes approved by InfoSec</w:t>
            </w:r>
          </w:p>
        </w:tc>
        <w:tc>
          <w:tcPr>
            <w:tcW w:type="dxa" w:w="5429"/>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r>
      <w:tr>
        <w:tc>
          <w:tcPr>
            <w:tcW w:type="dxa" w:w="3931"/>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Transport and encryption</w:t>
            </w:r>
          </w:p>
        </w:tc>
        <w:tc>
          <w:tcPr>
            <w:tcW w:type="dxa" w:w="5429"/>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r>
      <w:tr>
        <w:tc>
          <w:tcPr>
            <w:tcW w:type="dxa" w:w="3931"/>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Credential and key rotation owner</w:t>
            </w:r>
          </w:p>
        </w:tc>
        <w:tc>
          <w:tcPr>
            <w:tcW w:type="dxa" w:w="5429"/>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r>
      <w:tr>
        <w:tc>
          <w:tcPr>
            <w:tcW w:type="dxa" w:w="3931"/>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Reconciliation method per send</w:t>
            </w:r>
          </w:p>
        </w:tc>
        <w:tc>
          <w:tcPr>
            <w:tcW w:type="dxa" w:w="5429"/>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r>
      <w:tr>
        <w:tc>
          <w:tcPr>
            <w:tcW w:type="dxa" w:w="3931"/>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Retention: how long Jazz holds our data</w:t>
            </w:r>
          </w:p>
        </w:tc>
        <w:tc>
          <w:tcPr>
            <w:tcW w:type="dxa" w:w="5429"/>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r>
      <w:tr>
        <w:tc>
          <w:tcPr>
            <w:tcW w:type="dxa" w:w="3931"/>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Deletion and data-return on exit</w:t>
            </w:r>
          </w:p>
        </w:tc>
        <w:tc>
          <w:tcPr>
            <w:tcW w:type="dxa" w:w="5429"/>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r>
      <w:tr>
        <w:tc>
          <w:tcPr>
            <w:tcW w:type="dxa" w:w="3931"/>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Latency target from trigger to output</w:t>
            </w:r>
          </w:p>
        </w:tc>
        <w:tc>
          <w:tcPr>
            <w:tcW w:type="dxa" w:w="5429"/>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r>
    </w:tbl>
    <w:p>
      <w:pPr>
        <w:spacing w:after="160"/>
      </w:pPr>
    </w:p>
    <w:p>
      <w:pPr>
        <w:spacing w:after="80" w:before="200"/>
      </w:pPr>
      <w:r>
        <w:rPr>
          <w:rFonts w:ascii="Calibri" w:cs="Calibri" w:eastAsia="Calibri" w:hAnsi="Calibri"/>
          <w:b/>
          <w:bCs/>
          <w:color w:val="0E3A4F"/>
          <w:sz w:val="22"/>
          <w:szCs w:val="22"/>
        </w:rPr>
        <w:t xml:space="preserve">Write-back decision record — completed at G2</w:t>
      </w:r>
    </w:p>
    <w:tbl>
      <w:tblPr>
        <w:tblW w:type="dxa" w:w="9360"/>
        <w:tblBorders>
          <w:top w:val="single" w:color="C9D6DC" w:sz="2"/>
          <w:left w:val="single" w:color="C9D6DC" w:sz="2"/>
          <w:bottom w:val="single" w:color="C9D6DC" w:sz="2"/>
          <w:right w:val="single" w:color="C9D6DC" w:sz="2"/>
          <w:insideH w:val="single" w:color="C9D6DC" w:sz="2"/>
          <w:insideV w:val="single" w:color="C9D6DC" w:sz="2"/>
        </w:tblBorders>
      </w:tblPr>
      <w:tblGrid>
        <w:gridCol w:w="4305"/>
        <w:gridCol w:w="5055"/>
      </w:tblGrid>
      <w:tr>
        <w:trPr>
          <w:tblHeader/>
        </w:trPr>
        <w:tc>
          <w:tcPr>
            <w:tcW w:type="dxa" w:w="4305"/>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Question</w:t>
            </w:r>
          </w:p>
        </w:tc>
        <w:tc>
          <w:tcPr>
            <w:tcW w:type="dxa" w:w="5055"/>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Answer</w:t>
            </w:r>
          </w:p>
        </w:tc>
      </w:tr>
      <w:tr>
        <w:tc>
          <w:tcPr>
            <w:tcW w:type="dxa" w:w="4305"/>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Is write-back required to prove the value hypothesis?</w:t>
            </w:r>
          </w:p>
        </w:tc>
        <w:tc>
          <w:tcPr>
            <w:tcW w:type="dxa" w:w="5055"/>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If no, the decision is L0 and the rest of this table is moot</w:t>
            </w:r>
          </w:p>
        </w:tc>
      </w:tr>
      <w:tr>
        <w:tc>
          <w:tcPr>
            <w:tcW w:type="dxa" w:w="4305"/>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Which level is proposed (L1 / L2 / L3)?</w:t>
            </w:r>
          </w:p>
        </w:tc>
        <w:tc>
          <w:tcPr>
            <w:tcW w:type="dxa" w:w="5055"/>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r>
      <w:tr>
        <w:tc>
          <w:tcPr>
            <w:tcW w:type="dxa" w:w="4305"/>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Which fields or objects specifically?</w:t>
            </w:r>
          </w:p>
        </w:tc>
        <w:tc>
          <w:tcPr>
            <w:tcW w:type="dxa" w:w="5055"/>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r>
      <w:tr>
        <w:tc>
          <w:tcPr>
            <w:tcW w:type="dxa" w:w="4305"/>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Provenance mechanism</w:t>
            </w:r>
          </w:p>
        </w:tc>
        <w:tc>
          <w:tcPr>
            <w:tcW w:type="dxa" w:w="5055"/>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r>
      <w:tr>
        <w:tc>
          <w:tcPr>
            <w:tcW w:type="dxa" w:w="4305"/>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Acceptance mechanism (affirmative, logged)</w:t>
            </w:r>
          </w:p>
        </w:tc>
        <w:tc>
          <w:tcPr>
            <w:tcW w:type="dxa" w:w="5055"/>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r>
      <w:tr>
        <w:tc>
          <w:tcPr>
            <w:tcW w:type="dxa" w:w="4305"/>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Reversibility mechanism</w:t>
            </w:r>
          </w:p>
        </w:tc>
        <w:tc>
          <w:tcPr>
            <w:tcW w:type="dxa" w:w="5055"/>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r>
      <w:tr>
        <w:tc>
          <w:tcPr>
            <w:tcW w:type="dxa" w:w="4305"/>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Conflict handling with human-entered values</w:t>
            </w:r>
          </w:p>
        </w:tc>
        <w:tc>
          <w:tcPr>
            <w:tcW w:type="dxa" w:w="5055"/>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r>
      <w:tr>
        <w:tc>
          <w:tcPr>
            <w:tcW w:type="dxa" w:w="4305"/>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Compliance sign-off</w:t>
            </w:r>
          </w:p>
        </w:tc>
        <w:tc>
          <w:tcPr>
            <w:tcW w:type="dxa" w:w="5055"/>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r>
      <w:tr>
        <w:tc>
          <w:tcPr>
            <w:tcW w:type="dxa" w:w="4305"/>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Model Risk sign-off</w:t>
            </w:r>
          </w:p>
        </w:tc>
        <w:tc>
          <w:tcPr>
            <w:tcW w:type="dxa" w:w="5055"/>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r>
      <w:tr>
        <w:tc>
          <w:tcPr>
            <w:tcW w:type="dxa" w:w="4305"/>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Removal path if G4 is no-go</w:t>
            </w:r>
          </w:p>
        </w:tc>
        <w:tc>
          <w:tcPr>
            <w:tcW w:type="dxa" w:w="5055"/>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r>
      <w:tr>
        <w:tc>
          <w:tcPr>
            <w:tcW w:type="dxa" w:w="4305"/>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Steering decision and date</w:t>
            </w:r>
          </w:p>
        </w:tc>
        <w:tc>
          <w:tcPr>
            <w:tcW w:type="dxa" w:w="5055"/>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r>
    </w:tbl>
    <w:p>
      <w:pPr>
        <w:spacing w:after="160" w:before="80"/>
      </w:pPr>
      <w:r>
        <w:rPr>
          <w:rFonts w:ascii="Calibri" w:cs="Calibri" w:eastAsia="Calibri" w:hAnsi="Calibri"/>
          <w:i/>
          <w:iCs/>
          <w:color w:val="5A6B73"/>
          <w:sz w:val="18"/>
          <w:szCs w:val="18"/>
        </w:rPr>
        <w:t xml:space="preserve">The first row is the one that matters. Write-back is frequently proposed to save keying time — that is a scale-phase efficiency, not studio evidence, and it can be measured as review overhead at L1 instead.</w:t>
      </w:r>
    </w:p>
    <w:p>
      <w:pPr>
        <w:pBdr>
          <w:bottom w:val="single" w:color="C9D6DC" w:sz="6" w:space="6"/>
        </w:pBdr>
        <w:spacing w:after="140" w:before="280"/>
      </w:pPr>
      <w:r>
        <w:rPr>
          <w:rFonts w:ascii="Calibri" w:cs="Calibri" w:eastAsia="Calibri" w:hAnsi="Calibri"/>
          <w:b/>
          <w:bCs/>
          <w:color w:val="1B6B7C"/>
          <w:spacing w:val="20"/>
          <w:sz w:val="20"/>
          <w:szCs w:val="20"/>
        </w:rPr>
        <w:t xml:space="preserve">CADENCE</w:t>
      </w:r>
    </w:p>
    <w:tbl>
      <w:tblPr>
        <w:tblW w:type="dxa" w:w="9360"/>
        <w:tblBorders>
          <w:top w:val="single" w:color="C9D6DC" w:sz="2"/>
          <w:left w:val="single" w:color="C9D6DC" w:sz="2"/>
          <w:bottom w:val="single" w:color="C9D6DC" w:sz="2"/>
          <w:right w:val="single" w:color="C9D6DC" w:sz="2"/>
          <w:insideH w:val="single" w:color="C9D6DC" w:sz="2"/>
          <w:insideV w:val="single" w:color="C9D6DC" w:sz="2"/>
        </w:tblBorders>
      </w:tblPr>
      <w:tblGrid>
        <w:gridCol w:w="2059"/>
        <w:gridCol w:w="4492"/>
        <w:gridCol w:w="2809"/>
      </w:tblGrid>
      <w:tr>
        <w:trPr>
          <w:tblHeader/>
        </w:trPr>
        <w:tc>
          <w:tcPr>
            <w:tcW w:type="dxa" w:w="2059"/>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When</w:t>
            </w:r>
          </w:p>
        </w:tc>
        <w:tc>
          <w:tcPr>
            <w:tcW w:type="dxa" w:w="4492"/>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What happens</w:t>
            </w:r>
          </w:p>
        </w:tc>
        <w:tc>
          <w:tcPr>
            <w:tcW w:type="dxa" w:w="2809"/>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Output</w:t>
            </w:r>
          </w:p>
        </w:tc>
      </w:tr>
      <w:tr>
        <w:tc>
          <w:tcPr>
            <w:tcW w:type="dxa" w:w="2059"/>
            <w:tcMar>
              <w:top w:type="dxa" w:w="80"/>
              <w:left w:type="dxa" w:w="110"/>
              <w:bottom w:type="dxa" w:w="80"/>
              <w:right w:type="dxa" w:w="110"/>
            </w:tcMar>
          </w:tcPr>
          <w:p>
            <w:pPr>
              <w:spacing w:after="0" w:line="260"/>
            </w:pPr>
            <w:r>
              <w:rPr>
                <w:rFonts w:ascii="Calibri" w:cs="Calibri" w:eastAsia="Calibri" w:hAnsi="Calibri"/>
                <w:b/>
                <w:bCs/>
                <w:color w:val="1A1A1A"/>
                <w:sz w:val="21"/>
                <w:szCs w:val="21"/>
              </w:rPr>
              <w:t xml:space="preserve">Pre-G0</w:t>
            </w:r>
          </w:p>
        </w:tc>
        <w:tc>
          <w:tcPr>
            <w:tcW w:type="dxa" w:w="4492"/>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Extraction designed, built, validated end to end</w:t>
            </w:r>
          </w:p>
        </w:tc>
        <w:tc>
          <w:tcPr>
            <w:tcW w:type="dxa" w:w="2809"/>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Working extraction</w:t>
            </w:r>
          </w:p>
        </w:tc>
      </w:tr>
      <w:tr>
        <w:tc>
          <w:tcPr>
            <w:tcW w:type="dxa" w:w="2059"/>
            <w:shd w:fill="F2F6F8" w:color="auto" w:val="clear"/>
            <w:tcMar>
              <w:top w:type="dxa" w:w="80"/>
              <w:left w:type="dxa" w:w="110"/>
              <w:bottom w:type="dxa" w:w="80"/>
              <w:right w:type="dxa" w:w="110"/>
            </w:tcMar>
          </w:tcPr>
          <w:p>
            <w:pPr>
              <w:spacing w:after="0" w:line="260"/>
            </w:pPr>
            <w:r>
              <w:rPr>
                <w:rFonts w:ascii="Calibri" w:cs="Calibri" w:eastAsia="Calibri" w:hAnsi="Calibri"/>
                <w:b/>
                <w:bCs/>
                <w:color w:val="1A1A1A"/>
                <w:sz w:val="21"/>
                <w:szCs w:val="21"/>
              </w:rPr>
              <w:t xml:space="preserve">Weekly (Month 1)</w:t>
            </w:r>
          </w:p>
        </w:tc>
        <w:tc>
          <w:tcPr>
            <w:tcW w:type="dxa" w:w="4492"/>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Visual fidelity audit of what Jazz actually received</w:t>
            </w:r>
          </w:p>
        </w:tc>
        <w:tc>
          <w:tcPr>
            <w:tcW w:type="dxa" w:w="2809"/>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Fidelity report</w:t>
            </w:r>
          </w:p>
        </w:tc>
      </w:tr>
      <w:tr>
        <w:tc>
          <w:tcPr>
            <w:tcW w:type="dxa" w:w="2059"/>
            <w:tcMar>
              <w:top w:type="dxa" w:w="80"/>
              <w:left w:type="dxa" w:w="110"/>
              <w:bottom w:type="dxa" w:w="80"/>
              <w:right w:type="dxa" w:w="110"/>
            </w:tcMar>
          </w:tcPr>
          <w:p>
            <w:pPr>
              <w:spacing w:after="0" w:line="260"/>
            </w:pPr>
            <w:r>
              <w:rPr>
                <w:rFonts w:ascii="Calibri" w:cs="Calibri" w:eastAsia="Calibri" w:hAnsi="Calibri"/>
                <w:b/>
                <w:bCs/>
                <w:color w:val="1A1A1A"/>
                <w:sz w:val="21"/>
                <w:szCs w:val="21"/>
              </w:rPr>
              <w:t xml:space="preserve">Weekly</w:t>
            </w:r>
          </w:p>
        </w:tc>
        <w:tc>
          <w:tcPr>
            <w:tcW w:type="dxa" w:w="4492"/>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Reconciliation exceptions reviewed in the feedback loop</w:t>
            </w:r>
          </w:p>
        </w:tc>
        <w:tc>
          <w:tcPr>
            <w:tcW w:type="dxa" w:w="2809"/>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Pipeline defect log</w:t>
            </w:r>
          </w:p>
        </w:tc>
      </w:tr>
      <w:tr>
        <w:tc>
          <w:tcPr>
            <w:tcW w:type="dxa" w:w="2059"/>
            <w:shd w:fill="F2F6F8" w:color="auto" w:val="clear"/>
            <w:tcMar>
              <w:top w:type="dxa" w:w="80"/>
              <w:left w:type="dxa" w:w="110"/>
              <w:bottom w:type="dxa" w:w="80"/>
              <w:right w:type="dxa" w:w="110"/>
            </w:tcMar>
          </w:tcPr>
          <w:p>
            <w:pPr>
              <w:spacing w:after="0" w:line="260"/>
            </w:pPr>
            <w:r>
              <w:rPr>
                <w:rFonts w:ascii="Calibri" w:cs="Calibri" w:eastAsia="Calibri" w:hAnsi="Calibri"/>
                <w:b/>
                <w:bCs/>
                <w:color w:val="1A1A1A"/>
                <w:sz w:val="21"/>
                <w:szCs w:val="21"/>
              </w:rPr>
              <w:t xml:space="preserve">Day 45</w:t>
            </w:r>
          </w:p>
        </w:tc>
        <w:tc>
          <w:tcPr>
            <w:tcW w:type="dxa" w:w="4492"/>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Write-back position drafted with evidence for or against</w:t>
            </w:r>
          </w:p>
        </w:tc>
        <w:tc>
          <w:tcPr>
            <w:tcW w:type="dxa" w:w="2809"/>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Draft decision</w:t>
            </w:r>
          </w:p>
        </w:tc>
      </w:tr>
      <w:tr>
        <w:tc>
          <w:tcPr>
            <w:tcW w:type="dxa" w:w="2059"/>
            <w:tcMar>
              <w:top w:type="dxa" w:w="80"/>
              <w:left w:type="dxa" w:w="110"/>
              <w:bottom w:type="dxa" w:w="80"/>
              <w:right w:type="dxa" w:w="110"/>
            </w:tcMar>
          </w:tcPr>
          <w:p>
            <w:pPr>
              <w:spacing w:after="0" w:line="260"/>
            </w:pPr>
            <w:r>
              <w:rPr>
                <w:rFonts w:ascii="Calibri" w:cs="Calibri" w:eastAsia="Calibri" w:hAnsi="Calibri"/>
                <w:b/>
                <w:bCs/>
                <w:color w:val="1A1A1A"/>
                <w:sz w:val="21"/>
                <w:szCs w:val="21"/>
              </w:rPr>
              <w:t xml:space="preserve">At G2</w:t>
            </w:r>
          </w:p>
        </w:tc>
        <w:tc>
          <w:tcPr>
            <w:tcW w:type="dxa" w:w="4492"/>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Write-back decision made by Steering</w:t>
            </w:r>
          </w:p>
        </w:tc>
        <w:tc>
          <w:tcPr>
            <w:tcW w:type="dxa" w:w="2809"/>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Signed decision record</w:t>
            </w:r>
          </w:p>
        </w:tc>
      </w:tr>
      <w:tr>
        <w:tc>
          <w:tcPr>
            <w:tcW w:type="dxa" w:w="2059"/>
            <w:shd w:fill="F2F6F8" w:color="auto" w:val="clear"/>
            <w:tcMar>
              <w:top w:type="dxa" w:w="80"/>
              <w:left w:type="dxa" w:w="110"/>
              <w:bottom w:type="dxa" w:w="80"/>
              <w:right w:type="dxa" w:w="110"/>
            </w:tcMar>
          </w:tcPr>
          <w:p>
            <w:pPr>
              <w:spacing w:after="0" w:line="260"/>
            </w:pPr>
            <w:r>
              <w:rPr>
                <w:rFonts w:ascii="Calibri" w:cs="Calibri" w:eastAsia="Calibri" w:hAnsi="Calibri"/>
                <w:b/>
                <w:bCs/>
                <w:color w:val="1A1A1A"/>
                <w:sz w:val="21"/>
                <w:szCs w:val="21"/>
              </w:rPr>
              <w:t xml:space="preserve">At G4</w:t>
            </w:r>
          </w:p>
        </w:tc>
        <w:tc>
          <w:tcPr>
            <w:tcW w:type="dxa" w:w="4492"/>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Extraction and any write-back assessed for scale readiness and cost</w:t>
            </w:r>
          </w:p>
        </w:tc>
        <w:tc>
          <w:tcPr>
            <w:tcW w:type="dxa" w:w="2809"/>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Roadmap input</w:t>
            </w:r>
          </w:p>
        </w:tc>
      </w:tr>
    </w:tbl>
    <w:p>
      <w:pPr>
        <w:spacing w:after="120"/>
      </w:pPr>
    </w:p>
    <w:p>
      <w:pPr>
        <w:pBdr>
          <w:bottom w:val="single" w:color="C9D6DC" w:sz="6" w:space="6"/>
        </w:pBdr>
        <w:spacing w:after="140" w:before="280"/>
      </w:pPr>
      <w:r>
        <w:rPr>
          <w:rFonts w:ascii="Calibri" w:cs="Calibri" w:eastAsia="Calibri" w:hAnsi="Calibri"/>
          <w:b/>
          <w:bCs/>
          <w:color w:val="1B6B7C"/>
          <w:spacing w:val="20"/>
          <w:sz w:val="20"/>
          <w:szCs w:val="20"/>
        </w:rPr>
        <w:t xml:space="preserve">DEFINITION OF DONE</w:t>
      </w:r>
    </w:p>
    <w:p>
      <w:pPr>
        <w:pStyle w:val="ListParagraph"/>
        <w:numPr>
          <w:ilvl w:val="0"/>
          <w:numId w:val="3"/>
        </w:numPr>
        <w:spacing w:after="80" w:line="276"/>
      </w:pPr>
      <w:r>
        <w:rPr>
          <w:rFonts w:ascii="Calibri" w:cs="Calibri" w:eastAsia="Calibri" w:hAnsi="Calibri"/>
          <w:color w:val="1A1A1A"/>
          <w:sz w:val="21"/>
          <w:szCs w:val="21"/>
        </w:rPr>
        <w:t xml:space="preserve">Extraction working, reconciled per send, with fidelity audited visually in month one</w:t>
      </w:r>
    </w:p>
    <w:p>
      <w:pPr>
        <w:pStyle w:val="ListParagraph"/>
        <w:numPr>
          <w:ilvl w:val="0"/>
          <w:numId w:val="3"/>
        </w:numPr>
        <w:spacing w:after="80" w:line="276"/>
      </w:pPr>
      <w:r>
        <w:rPr>
          <w:rFonts w:ascii="Calibri" w:cs="Calibri" w:eastAsia="Calibri" w:hAnsi="Calibri"/>
          <w:color w:val="1A1A1A"/>
          <w:sz w:val="21"/>
          <w:szCs w:val="21"/>
        </w:rPr>
        <w:t xml:space="preserve">Data classes enforced in code and approved by InfoSec</w:t>
      </w:r>
    </w:p>
    <w:p>
      <w:pPr>
        <w:pStyle w:val="ListParagraph"/>
        <w:numPr>
          <w:ilvl w:val="0"/>
          <w:numId w:val="3"/>
        </w:numPr>
        <w:spacing w:after="80" w:line="276"/>
      </w:pPr>
      <w:r>
        <w:rPr>
          <w:rFonts w:ascii="Calibri" w:cs="Calibri" w:eastAsia="Calibri" w:hAnsi="Calibri"/>
          <w:color w:val="1A1A1A"/>
          <w:sz w:val="21"/>
          <w:szCs w:val="21"/>
        </w:rPr>
        <w:t xml:space="preserve">Pipeline defect established as the first-checked root cause in the tuning workflow</w:t>
      </w:r>
    </w:p>
    <w:p>
      <w:pPr>
        <w:pStyle w:val="ListParagraph"/>
        <w:numPr>
          <w:ilvl w:val="0"/>
          <w:numId w:val="3"/>
        </w:numPr>
        <w:spacing w:after="80" w:line="276"/>
      </w:pPr>
      <w:r>
        <w:rPr>
          <w:rFonts w:ascii="Calibri" w:cs="Calibri" w:eastAsia="Calibri" w:hAnsi="Calibri"/>
          <w:color w:val="1A1A1A"/>
          <w:sz w:val="21"/>
          <w:szCs w:val="21"/>
        </w:rPr>
        <w:t xml:space="preserve">Write-back decision made explicitly at G2 rather than arrived at by default</w:t>
      </w:r>
    </w:p>
    <w:p>
      <w:pPr>
        <w:pStyle w:val="ListParagraph"/>
        <w:numPr>
          <w:ilvl w:val="0"/>
          <w:numId w:val="3"/>
        </w:numPr>
        <w:spacing w:after="80" w:line="276"/>
      </w:pPr>
      <w:r>
        <w:rPr>
          <w:rFonts w:ascii="Calibri" w:cs="Calibri" w:eastAsia="Calibri" w:hAnsi="Calibri"/>
          <w:color w:val="1A1A1A"/>
          <w:sz w:val="21"/>
          <w:szCs w:val="21"/>
        </w:rPr>
        <w:t xml:space="preserve">Any approved write-back at L2 or below, with provenance, reversibility and a removal path</w:t>
      </w:r>
    </w:p>
    <w:p>
      <w:pPr>
        <w:pBdr>
          <w:bottom w:val="single" w:color="C9D6DC" w:sz="6" w:space="6"/>
        </w:pBdr>
        <w:spacing w:after="140" w:before="280"/>
      </w:pPr>
      <w:r>
        <w:rPr>
          <w:rFonts w:ascii="Calibri" w:cs="Calibri" w:eastAsia="Calibri" w:hAnsi="Calibri"/>
          <w:b/>
          <w:bCs/>
          <w:color w:val="1B6B7C"/>
          <w:spacing w:val="20"/>
          <w:sz w:val="20"/>
          <w:szCs w:val="20"/>
        </w:rPr>
        <w:t xml:space="preserve">RISKS &amp; ESCALATION</w:t>
      </w:r>
    </w:p>
    <w:tbl>
      <w:tblPr>
        <w:tblW w:type="dxa" w:w="9360"/>
        <w:tblBorders>
          <w:top w:val="single" w:color="C9D6DC" w:sz="2"/>
          <w:left w:val="single" w:color="C9D6DC" w:sz="2"/>
          <w:bottom w:val="single" w:color="C9D6DC" w:sz="2"/>
          <w:right w:val="single" w:color="C9D6DC" w:sz="2"/>
          <w:insideH w:val="single" w:color="C9D6DC" w:sz="2"/>
          <w:insideV w:val="single" w:color="C9D6DC" w:sz="2"/>
        </w:tblBorders>
      </w:tblPr>
      <w:tblGrid>
        <w:gridCol w:w="2808"/>
        <w:gridCol w:w="4212"/>
        <w:gridCol w:w="2340"/>
      </w:tblGrid>
      <w:tr>
        <w:trPr>
          <w:tblHeader/>
        </w:trPr>
        <w:tc>
          <w:tcPr>
            <w:tcW w:type="dxa" w:w="2808"/>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Risk</w:t>
            </w:r>
          </w:p>
        </w:tc>
        <w:tc>
          <w:tcPr>
            <w:tcW w:type="dxa" w:w="4212"/>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Mitigation</w:t>
            </w:r>
          </w:p>
        </w:tc>
        <w:tc>
          <w:tcPr>
            <w:tcW w:type="dxa" w:w="2340"/>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Escalates to</w:t>
            </w:r>
          </w:p>
        </w:tc>
      </w:tr>
      <w:tr>
        <w:tc>
          <w:tcPr>
            <w:tcW w:type="dxa" w:w="2808"/>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Pipeline defects tuned as if they were model defects</w:t>
            </w:r>
          </w:p>
        </w:tc>
        <w:tc>
          <w:tcPr>
            <w:tcW w:type="dxa" w:w="4212"/>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Reconciliation on every send; visual audit weekly; pipeline checked first in root-cause</w:t>
            </w:r>
          </w:p>
        </w:tc>
        <w:tc>
          <w:tcPr>
            <w:tcW w:type="dxa" w:w="2340"/>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IT lead</w:t>
            </w:r>
          </w:p>
        </w:tc>
      </w:tr>
      <w:tr>
        <w:tc>
          <w:tcPr>
            <w:tcW w:type="dxa" w:w="2808"/>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Write-back happens incrementally by engineering convenience</w:t>
            </w:r>
          </w:p>
        </w:tc>
        <w:tc>
          <w:tcPr>
            <w:tcW w:type="dxa" w:w="4212"/>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L0 default stated at G0; any write path requires a Steering decision</w:t>
            </w:r>
          </w:p>
        </w:tc>
        <w:tc>
          <w:tcPr>
            <w:tcW w:type="dxa" w:w="2340"/>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Steering Committee</w:t>
            </w:r>
          </w:p>
        </w:tc>
      </w:tr>
      <w:tr>
        <w:tc>
          <w:tcPr>
            <w:tcW w:type="dxa" w:w="2808"/>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Direct database coupling chosen for speed and inherited permanently</w:t>
            </w:r>
          </w:p>
        </w:tc>
        <w:tc>
          <w:tcPr>
            <w:tcW w:type="dxa" w:w="4212"/>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Coupling assessed by architecture at G0; the 90-day saving is weighed against multi-year cost</w:t>
            </w:r>
          </w:p>
        </w:tc>
        <w:tc>
          <w:tcPr>
            <w:tcW w:type="dxa" w:w="2340"/>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Enterprise architecture</w:t>
            </w:r>
          </w:p>
        </w:tc>
      </w:tr>
      <w:tr>
        <w:tc>
          <w:tcPr>
            <w:tcW w:type="dxa" w:w="2808"/>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Data sent expands beyond the approved classes</w:t>
            </w:r>
          </w:p>
        </w:tc>
        <w:tc>
          <w:tcPr>
            <w:tcW w:type="dxa" w:w="4212"/>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Enforced in code, reviewed by InfoSec, payload version logged per send</w:t>
            </w:r>
          </w:p>
        </w:tc>
        <w:tc>
          <w:tcPr>
            <w:tcW w:type="dxa" w:w="2340"/>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InfoSec</w:t>
            </w:r>
          </w:p>
        </w:tc>
      </w:tr>
      <w:tr>
        <w:tc>
          <w:tcPr>
            <w:tcW w:type="dxa" w:w="2808"/>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Vendor retains borrower data after a no-go</w:t>
            </w:r>
          </w:p>
        </w:tc>
        <w:tc>
          <w:tcPr>
            <w:tcW w:type="dxa" w:w="4212"/>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Retention, deletion and data-return terms agreed in the SOW and verified at exit</w:t>
            </w:r>
          </w:p>
        </w:tc>
        <w:tc>
          <w:tcPr>
            <w:tcW w:type="dxa" w:w="2340"/>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Third-Party Risk</w:t>
            </w:r>
          </w:p>
        </w:tc>
      </w:tr>
      <w:tr>
        <w:tc>
          <w:tcPr>
            <w:tcW w:type="dxa" w:w="2808"/>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Latency means Jazz output arrives after the underwriter has finished</w:t>
            </w:r>
          </w:p>
        </w:tc>
        <w:tc>
          <w:tcPr>
            <w:tcW w:type="dxa" w:w="4212"/>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Latency target set at G0 and monitored; a late output is an excluded comparison, not a slow one</w:t>
            </w:r>
          </w:p>
        </w:tc>
        <w:tc>
          <w:tcPr>
            <w:tcW w:type="dxa" w:w="2340"/>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IT lead</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6DC" w:sz="4" w:space="6"/>
      </w:pBdr>
    </w:pPr>
    <w:r>
      <w:rPr>
        <w:rFonts w:ascii="Calibri" w:cs="Calibri" w:eastAsia="Calibri" w:hAnsi="Calibri"/>
        <w:color w:val="5A6B73"/>
        <w:sz w:val="16"/>
        <w:szCs w:val="16"/>
      </w:rPr>
      <w:t xml:space="preserve">JazzX Design Studio — 90-Day Framework  │  LOS Data Extraction &amp; the Write-Back Decision   </w:t>
    </w:r>
    <w:r>
      <w:rPr>
        <w:rFonts w:ascii="Calibri" w:cs="Calibri" w:eastAsia="Calibri" w:hAnsi="Calibri"/>
        <w:color w:val="5A6B73"/>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rPr>
        <w:color w:val="1B6B7C"/>
        <w:sz w:val="21"/>
        <w:szCs w:val="21"/>
      </w:rPr>
    </w:lvl>
    <w:lvl w:ilvl="1" w15:tentative="1">
      <w:start w:val="1"/>
      <w:numFmt w:val="bullet"/>
      <w:lvlText w:val="○"/>
      <w:lvlJc w:val="left"/>
      <w:pPr>
        <w:ind w:left="763" w:hanging="259"/>
      </w:pPr>
      <w:rPr>
        <w:color w:val="5A6B73"/>
        <w:sz w:val="21"/>
        <w:szCs w:val="21"/>
      </w:rPr>
    </w:lvl>
    <w:lvl w:ilvl="2" w15:tentative="1">
      <w:start w:val="1"/>
      <w:numFmt w:val="bullet"/>
      <w:lvlText w:val="▪"/>
      <w:lvlJc w:val="left"/>
      <w:pPr>
        <w:ind w:left="1123" w:hanging="259"/>
      </w:pPr>
      <w:rPr>
        <w:color w:val="5A6B73"/>
        <w:sz w:val="21"/>
        <w:szCs w:val="21"/>
      </w:rPr>
    </w:lvl>
  </w:abstractNum>
  <w:abstractNum w:abstractNumId="3" w15:restartNumberingAfterBreak="0">
    <w:multiLevelType w:val="hybridMultilevel"/>
    <w:lvl w:ilvl="0" w15:tentative="1">
      <w:start w:val="1"/>
      <w:numFmt w:val="decimal"/>
      <w:lvlText w:val="%1."/>
      <w:lvlJc w:val="left"/>
      <w:pPr>
        <w:ind w:left="460" w:hanging="316"/>
      </w:pPr>
      <w:rPr>
        <w:b/>
        <w:bCs/>
        <w:color w:val="1B6B7C"/>
        <w:sz w:val="21"/>
        <w:szCs w:val="21"/>
      </w:rPr>
    </w:lvl>
    <w:lvl w:ilvl="1" w15:tentative="1">
      <w:start w:val="1"/>
      <w:numFmt w:val="lowerLetter"/>
      <w:lvlText w:val="%2."/>
      <w:lvlJc w:val="left"/>
      <w:pPr>
        <w:ind w:left="835" w:hanging="316"/>
      </w:pPr>
      <w:rPr>
        <w:color w:val="5A6B73"/>
        <w:sz w:val="21"/>
        <w:szCs w:val="21"/>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LOS Data Extraction &amp; the Write-Back Decision</dc:title>
  <dc:creator>Design Studio Program Office</dc:creator>
  <dc:description>Reading out is settled and needs designing. Writing back is open and needs deciding.</dc:description>
  <cp:lastModifiedBy>Un-named</cp:lastModifiedBy>
  <cp:revision>1</cp:revision>
  <dcterms:created xsi:type="dcterms:W3CDTF">2026-08-04T00:29:15.359Z</dcterms:created>
  <dcterms:modified xsi:type="dcterms:W3CDTF">2026-08-04T00:29:15.359Z</dcterms:modified>
</cp:coreProperties>
</file>

<file path=docProps/custom.xml><?xml version="1.0" encoding="utf-8"?>
<Properties xmlns="http://schemas.openxmlformats.org/officeDocument/2006/custom-properties" xmlns:vt="http://schemas.openxmlformats.org/officeDocument/2006/docPropsVTypes"/>
</file>