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LOGISTICS — COMMERCIAL ALIGNMENT  │  ONE-PAGER 23</w:t>
      </w:r>
    </w:p>
    <w:p>
      <w:pPr>
        <w:spacing w:after="60"/>
      </w:pPr>
      <w:r>
        <w:rPr>
          <w:rFonts w:ascii="Calibri" w:cs="Calibri" w:eastAsia="Calibri" w:hAnsi="Calibri"/>
          <w:b/>
          <w:bCs/>
          <w:color w:val="0E3A4F"/>
          <w:sz w:val="40"/>
          <w:szCs w:val="40"/>
        </w:rPr>
        <w:t xml:space="preserve">Cost &amp; Timeline</w:t>
      </w:r>
    </w:p>
    <w:p>
      <w:pPr>
        <w:pBdr>
          <w:bottom w:val="single" w:color="1B6B7C" w:sz="12" w:space="8"/>
        </w:pBdr>
        <w:spacing w:after="200"/>
      </w:pPr>
      <w:r>
        <w:rPr>
          <w:rFonts w:ascii="Calibri" w:cs="Calibri" w:eastAsia="Calibri" w:hAnsi="Calibri"/>
          <w:i/>
          <w:iCs/>
          <w:color w:val="5A6B73"/>
          <w:sz w:val="21"/>
          <w:szCs w:val="21"/>
        </w:rPr>
        <w:t xml:space="preserve">What the 90 days actually costs, and why scale pricing is negotiated before you know the answer.</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establish the true cost of the studio — not just the vendor invoice — and to structure payment and timeline so that commercial terms reinforce the gate model rather than undermining it. The most consequential decision in this document is when scale pricing gets agreed, because the moment the studio proves value your negotiating position collapses.</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 / FP&amp;A</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cost model and the business case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Procurement / Vendor Management</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negotiates and holds the paper</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approves the envelope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validates what is actually needed</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internal integration cost</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internal labour cost of capacity relief</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b/>
          <w:bCs/>
          <w:color w:val="1A1A1A"/>
          <w:sz w:val="21"/>
          <w:szCs w:val="21"/>
        </w:rPr>
        <w:t xml:space="preserve">Scale pricing is agreed before Gate 2</w:t>
      </w:r>
      <w:r>
        <w:rPr>
          <w:rFonts w:ascii="Calibri" w:cs="Calibri" w:eastAsia="Calibri" w:hAnsi="Calibri"/>
          <w:color w:val="1A1A1A"/>
          <w:sz w:val="21"/>
          <w:szCs w:val="21"/>
        </w:rPr>
        <w:t xml:space="preserve">, while the answer is still unknown. Negotiating it after a successful studio means negotiating from the weakest position you will ever hold.</w:t>
      </w:r>
    </w:p>
    <w:p>
      <w:pPr>
        <w:pStyle w:val="ListParagraph"/>
        <w:numPr>
          <w:ilvl w:val="0"/>
          <w:numId w:val="2"/>
        </w:numPr>
        <w:spacing w:after="80" w:line="276"/>
      </w:pPr>
      <w:r>
        <w:rPr>
          <w:rFonts w:ascii="Calibri" w:cs="Calibri" w:eastAsia="Calibri" w:hAnsi="Calibri"/>
          <w:color w:val="1A1A1A"/>
          <w:sz w:val="21"/>
          <w:szCs w:val="21"/>
        </w:rPr>
        <w:t xml:space="preserve">The studio is priced as a </w:t>
      </w:r>
      <w:r>
        <w:rPr>
          <w:rFonts w:ascii="Calibri" w:cs="Calibri" w:eastAsia="Calibri" w:hAnsi="Calibri"/>
          <w:b/>
          <w:bCs/>
          <w:color w:val="1A1A1A"/>
          <w:sz w:val="21"/>
          <w:szCs w:val="21"/>
        </w:rPr>
        <w:t xml:space="preserve">fixed fee</w:t>
      </w:r>
      <w:r>
        <w:rPr>
          <w:rFonts w:ascii="Calibri" w:cs="Calibri" w:eastAsia="Calibri" w:hAnsi="Calibri"/>
          <w:color w:val="1A1A1A"/>
          <w:sz w:val="21"/>
          <w:szCs w:val="21"/>
        </w:rPr>
        <w:t xml:space="preserve">, not time and materials. Fixed fee moves delivery risk to the party that controls delivery and stops the budget conversation from consuming the weekly loop.</w:t>
      </w:r>
    </w:p>
    <w:p>
      <w:pPr>
        <w:pStyle w:val="ListParagraph"/>
        <w:numPr>
          <w:ilvl w:val="0"/>
          <w:numId w:val="2"/>
        </w:numPr>
        <w:spacing w:after="80" w:line="276"/>
      </w:pPr>
      <w:r>
        <w:rPr>
          <w:rFonts w:ascii="Calibri" w:cs="Calibri" w:eastAsia="Calibri" w:hAnsi="Calibri"/>
          <w:color w:val="1A1A1A"/>
          <w:sz w:val="21"/>
          <w:szCs w:val="21"/>
        </w:rPr>
        <w:t xml:space="preserve">Payment milestones are </w:t>
      </w:r>
      <w:r>
        <w:rPr>
          <w:rFonts w:ascii="Calibri" w:cs="Calibri" w:eastAsia="Calibri" w:hAnsi="Calibri"/>
          <w:b/>
          <w:bCs/>
          <w:color w:val="1A1A1A"/>
          <w:sz w:val="21"/>
          <w:szCs w:val="21"/>
        </w:rPr>
        <w:t xml:space="preserve">tied to gates, not calendar dates</w:t>
      </w:r>
      <w:r>
        <w:rPr>
          <w:rFonts w:ascii="Calibri" w:cs="Calibri" w:eastAsia="Calibri" w:hAnsi="Calibri"/>
          <w:color w:val="1A1A1A"/>
          <w:sz w:val="21"/>
          <w:szCs w:val="21"/>
        </w:rPr>
        <w:t xml:space="preserve">, so that commercial incentives and evidence requirements point the same direction.</w:t>
      </w:r>
    </w:p>
    <w:p>
      <w:pPr>
        <w:pStyle w:val="ListParagraph"/>
        <w:numPr>
          <w:ilvl w:val="0"/>
          <w:numId w:val="2"/>
        </w:numPr>
        <w:spacing w:after="80" w:line="276"/>
      </w:pPr>
      <w:r>
        <w:rPr>
          <w:rFonts w:ascii="Calibri" w:cs="Calibri" w:eastAsia="Calibri" w:hAnsi="Calibri"/>
          <w:color w:val="1A1A1A"/>
          <w:sz w:val="21"/>
          <w:szCs w:val="21"/>
        </w:rPr>
        <w:t xml:space="preserve">The cost model includes </w:t>
      </w:r>
      <w:r>
        <w:rPr>
          <w:rFonts w:ascii="Calibri" w:cs="Calibri" w:eastAsia="Calibri" w:hAnsi="Calibri"/>
          <w:b/>
          <w:bCs/>
          <w:color w:val="1A1A1A"/>
          <w:sz w:val="21"/>
          <w:szCs w:val="21"/>
        </w:rPr>
        <w:t xml:space="preserve">internal cost</w:t>
      </w:r>
      <w:r>
        <w:rPr>
          <w:rFonts w:ascii="Calibri" w:cs="Calibri" w:eastAsia="Calibri" w:hAnsi="Calibri"/>
          <w:color w:val="1A1A1A"/>
          <w:sz w:val="21"/>
          <w:szCs w:val="21"/>
        </w:rPr>
        <w:t xml:space="preserve"> — capacity relief, IT effort, opportunity cost. Reporting only the vendor fee understates the studio by a wide margin and produces a business case Finance will not defend.</w:t>
      </w:r>
    </w:p>
    <w:p>
      <w:pPr>
        <w:pStyle w:val="ListParagraph"/>
        <w:numPr>
          <w:ilvl w:val="0"/>
          <w:numId w:val="2"/>
        </w:numPr>
        <w:spacing w:after="80" w:line="276"/>
      </w:pPr>
      <w:r>
        <w:rPr>
          <w:rFonts w:ascii="Calibri" w:cs="Calibri" w:eastAsia="Calibri" w:hAnsi="Calibri"/>
          <w:color w:val="1A1A1A"/>
          <w:sz w:val="21"/>
          <w:szCs w:val="21"/>
        </w:rPr>
        <w:t xml:space="preserve">Every Gate 4 outcome has a </w:t>
      </w:r>
      <w:r>
        <w:rPr>
          <w:rFonts w:ascii="Calibri" w:cs="Calibri" w:eastAsia="Calibri" w:hAnsi="Calibri"/>
          <w:b/>
          <w:bCs/>
          <w:color w:val="1A1A1A"/>
          <w:sz w:val="21"/>
          <w:szCs w:val="21"/>
        </w:rPr>
        <w:t xml:space="preserve">pre-agreed budget consequence</w:t>
      </w:r>
      <w:r>
        <w:rPr>
          <w:rFonts w:ascii="Calibri" w:cs="Calibri" w:eastAsia="Calibri" w:hAnsi="Calibri"/>
          <w:color w:val="1A1A1A"/>
          <w:sz w:val="21"/>
          <w:szCs w:val="21"/>
        </w:rPr>
        <w:t xml:space="preserve">, including Stop. An outcome with no number attached is not a decision (see one-pager 07).</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The leverage window</w:t>
      </w:r>
    </w:p>
    <w:p>
      <w:pPr>
        <w:spacing w:after="120" w:line="276"/>
      </w:pPr>
      <w:r>
        <w:rPr>
          <w:rFonts w:ascii="Calibri" w:cs="Calibri" w:eastAsia="Calibri" w:hAnsi="Calibri"/>
          <w:color w:val="1A1A1A"/>
          <w:sz w:val="21"/>
          <w:szCs w:val="21"/>
        </w:rPr>
        <w:t xml:space="preserve">A vendor's pricing for a full rollout is never better than it is before the pilot succeeds. During the studio you hold a credible alternative — stop — and the vendor holds an unconverted opportunity. At Day 91, if the evidence is good, you hold an internal expectation of scale, a team that has learned the product, and integration work already done. Every one of those is a reason the price goes up.</w:t>
      </w:r>
    </w:p>
    <w:p>
      <w:pPr>
        <w:spacing w:after="120" w:line="276"/>
      </w:pPr>
      <w:r>
        <w:rPr>
          <w:rFonts w:ascii="Calibri" w:cs="Calibri" w:eastAsia="Calibri" w:hAnsi="Calibri"/>
          <w:color w:val="1A1A1A"/>
          <w:sz w:val="21"/>
          <w:szCs w:val="21"/>
        </w:rPr>
        <w:t xml:space="preserve">The countermeasure is simple and costs nothing: agree scale pricing as part of the studio contract, contingent on a go decision, with a validity period that extends past Gate 4. If the vendor will not price scale before the studio, that is itself useful information about how the relationship will run.</w:t>
      </w:r>
    </w:p>
    <w:p>
      <w:pPr>
        <w:pStyle w:val="ListParagraph"/>
        <w:numPr>
          <w:ilvl w:val="0"/>
          <w:numId w:val="3"/>
        </w:numPr>
        <w:spacing w:after="80" w:line="276"/>
      </w:pPr>
      <w:r>
        <w:rPr>
          <w:rFonts w:ascii="Calibri" w:cs="Calibri" w:eastAsia="Calibri" w:hAnsi="Calibri"/>
          <w:color w:val="1A1A1A"/>
          <w:sz w:val="21"/>
          <w:szCs w:val="21"/>
        </w:rPr>
        <w:t xml:space="preserve">Scale pricing agreed at contract signature, valid through </w:t>
      </w:r>
      <w:r>
        <w:rPr>
          <w:rFonts w:ascii="Calibri" w:cs="Calibri" w:eastAsia="Calibri" w:hAnsi="Calibri"/>
          <w:b/>
          <w:bCs/>
          <w:color w:val="1A1A1A"/>
          <w:sz w:val="21"/>
          <w:szCs w:val="21"/>
        </w:rPr>
        <w:t xml:space="preserve">Gate 4 plus 90 days</w:t>
      </w:r>
    </w:p>
    <w:p>
      <w:pPr>
        <w:pStyle w:val="ListParagraph"/>
        <w:numPr>
          <w:ilvl w:val="0"/>
          <w:numId w:val="3"/>
        </w:numPr>
        <w:spacing w:after="80" w:line="276"/>
      </w:pPr>
      <w:r>
        <w:rPr>
          <w:rFonts w:ascii="Calibri" w:cs="Calibri" w:eastAsia="Calibri" w:hAnsi="Calibri"/>
          <w:color w:val="1A1A1A"/>
          <w:sz w:val="21"/>
          <w:szCs w:val="21"/>
        </w:rPr>
        <w:t xml:space="preserve">Priced across a </w:t>
      </w:r>
      <w:r>
        <w:rPr>
          <w:rFonts w:ascii="Calibri" w:cs="Calibri" w:eastAsia="Calibri" w:hAnsi="Calibri"/>
          <w:b/>
          <w:bCs/>
          <w:color w:val="1A1A1A"/>
          <w:sz w:val="21"/>
          <w:szCs w:val="21"/>
        </w:rPr>
        <w:t xml:space="preserve">volume range</w:t>
      </w:r>
      <w:r>
        <w:rPr>
          <w:rFonts w:ascii="Calibri" w:cs="Calibri" w:eastAsia="Calibri" w:hAnsi="Calibri"/>
          <w:color w:val="1A1A1A"/>
          <w:sz w:val="21"/>
          <w:szCs w:val="21"/>
        </w:rPr>
        <w:t xml:space="preserve">, so the number does not depend on a forecast nobody can make yet</w:t>
      </w:r>
    </w:p>
    <w:p>
      <w:pPr>
        <w:pStyle w:val="ListParagraph"/>
        <w:numPr>
          <w:ilvl w:val="0"/>
          <w:numId w:val="3"/>
        </w:numPr>
        <w:spacing w:after="80" w:line="276"/>
      </w:pPr>
      <w:r>
        <w:rPr>
          <w:rFonts w:ascii="Calibri" w:cs="Calibri" w:eastAsia="Calibri" w:hAnsi="Calibri"/>
          <w:color w:val="1A1A1A"/>
          <w:sz w:val="21"/>
          <w:szCs w:val="21"/>
        </w:rPr>
        <w:t xml:space="preserve">Includes the run-rate cost of support, enablement and any per-loan or per-seat component</w:t>
      </w:r>
    </w:p>
    <w:p>
      <w:pPr>
        <w:pStyle w:val="ListParagraph"/>
        <w:numPr>
          <w:ilvl w:val="0"/>
          <w:numId w:val="3"/>
        </w:numPr>
        <w:spacing w:after="80" w:line="276"/>
      </w:pPr>
      <w:r>
        <w:rPr>
          <w:rFonts w:ascii="Calibri" w:cs="Calibri" w:eastAsia="Calibri" w:hAnsi="Calibri"/>
          <w:color w:val="1A1A1A"/>
          <w:sz w:val="21"/>
          <w:szCs w:val="21"/>
        </w:rPr>
        <w:t xml:space="preserve">Includes the cost of a </w:t>
      </w:r>
      <w:r>
        <w:rPr>
          <w:rFonts w:ascii="Calibri" w:cs="Calibri" w:eastAsia="Calibri" w:hAnsi="Calibri"/>
          <w:b/>
          <w:bCs/>
          <w:color w:val="1A1A1A"/>
          <w:sz w:val="21"/>
          <w:szCs w:val="21"/>
        </w:rPr>
        <w:t xml:space="preserve">Narrow</w:t>
      </w:r>
      <w:r>
        <w:rPr>
          <w:rFonts w:ascii="Calibri" w:cs="Calibri" w:eastAsia="Calibri" w:hAnsi="Calibri"/>
          <w:color w:val="1A1A1A"/>
          <w:sz w:val="21"/>
          <w:szCs w:val="21"/>
        </w:rPr>
        <w:t xml:space="preserve"> outcome — a reduced scope should not carry full-scope pricing</w:t>
      </w:r>
    </w:p>
    <w:p>
      <w:pPr>
        <w:pStyle w:val="ListParagraph"/>
        <w:numPr>
          <w:ilvl w:val="0"/>
          <w:numId w:val="3"/>
        </w:numPr>
        <w:spacing w:after="80" w:line="276"/>
      </w:pPr>
      <w:r>
        <w:rPr>
          <w:rFonts w:ascii="Calibri" w:cs="Calibri" w:eastAsia="Calibri" w:hAnsi="Calibri"/>
          <w:color w:val="1A1A1A"/>
          <w:sz w:val="21"/>
          <w:szCs w:val="21"/>
        </w:rPr>
        <w:t xml:space="preserve">No exclusivity, no auto-renewal, and no minimum commitment that outlives the decision</w:t>
      </w:r>
    </w:p>
    <w:p>
      <w:pPr>
        <w:spacing w:after="80" w:before="200"/>
      </w:pPr>
      <w:r>
        <w:rPr>
          <w:rFonts w:ascii="Calibri" w:cs="Calibri" w:eastAsia="Calibri" w:hAnsi="Calibri"/>
          <w:b/>
          <w:bCs/>
          <w:color w:val="0E3A4F"/>
          <w:sz w:val="22"/>
          <w:szCs w:val="22"/>
        </w:rPr>
        <w:t xml:space="preserve">Pricing structures compared</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684"/>
        <w:gridCol w:w="2620"/>
        <w:gridCol w:w="2433"/>
        <w:gridCol w:w="2623"/>
      </w:tblGrid>
      <w:tr>
        <w:trPr>
          <w:tblHeader/>
        </w:trPr>
        <w:tc>
          <w:tcPr>
            <w:tcW w:type="dxa" w:w="168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Structure</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How it works</w:t>
            </w:r>
          </w:p>
        </w:tc>
        <w:tc>
          <w:tcPr>
            <w:tcW w:type="dxa" w:w="243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Use when</w:t>
            </w:r>
          </w:p>
        </w:tc>
        <w:tc>
          <w:tcPr>
            <w:tcW w:type="dxa" w:w="262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 to us</w:t>
            </w:r>
          </w:p>
        </w:tc>
      </w:tr>
      <w:tr>
        <w:tc>
          <w:tcPr>
            <w:tcW w:type="dxa" w:w="1684"/>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Fixed fee</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price for a defined 90-day scope</w:t>
            </w:r>
          </w:p>
        </w:tc>
        <w:tc>
          <w:tcPr>
            <w:tcW w:type="dxa" w:w="243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The studio default</w:t>
            </w:r>
          </w:p>
        </w:tc>
        <w:tc>
          <w:tcPr>
            <w:tcW w:type="dxa" w:w="26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Scope must be tight or every request becomes a change order</w:t>
            </w:r>
          </w:p>
        </w:tc>
      </w:tr>
      <w:tr>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Time &amp; materials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Billed against hours consumed</w:t>
            </w:r>
          </w:p>
        </w:tc>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Genuinely undefined discovery work</w:t>
            </w:r>
          </w:p>
        </w:tc>
        <w:tc>
          <w:tcPr>
            <w:tcW w:type="dxa" w:w="26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Budget becomes a weekly conversation; delivery risk sits with us</w:t>
            </w:r>
          </w:p>
        </w:tc>
      </w:tr>
      <w:tr>
        <w:tc>
          <w:tcPr>
            <w:tcW w:type="dxa" w:w="1684"/>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Per loan</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Priced per loan processed</w:t>
            </w:r>
          </w:p>
        </w:tc>
        <w:tc>
          <w:tcPr>
            <w:tcW w:type="dxa" w:w="243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 phase, once volume is known</w:t>
            </w:r>
          </w:p>
        </w:tc>
        <w:tc>
          <w:tcPr>
            <w:tcW w:type="dxa" w:w="26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At studio volume the unit price is meaningless and usually punitive</w:t>
            </w:r>
          </w:p>
        </w:tc>
      </w:tr>
      <w:tr>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Subscription + services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Platform fee plus implementation</w:t>
            </w:r>
          </w:p>
        </w:tc>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Long-term relationship already decided</w:t>
            </w:r>
          </w:p>
        </w:tc>
        <w:tc>
          <w:tcPr>
            <w:tcW w:type="dxa" w:w="26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Commits before the evidence exists — avoid for a studio</w:t>
            </w:r>
          </w:p>
        </w:tc>
      </w:tr>
    </w:tbl>
    <w:p>
      <w:pPr>
        <w:spacing w:after="160" w:before="80"/>
      </w:pPr>
      <w:r>
        <w:rPr>
          <w:rFonts w:ascii="Calibri" w:cs="Calibri" w:eastAsia="Calibri" w:hAnsi="Calibri"/>
          <w:i/>
          <w:iCs/>
          <w:color w:val="5A6B73"/>
          <w:sz w:val="18"/>
          <w:szCs w:val="18"/>
        </w:rPr>
        <w:t xml:space="preserve">Fixed fee for the studio, with scale priced separately and in advance, is the structure that keeps the gate model honest.</w:t>
      </w:r>
    </w:p>
    <w:p>
      <w:pPr>
        <w:spacing w:after="80" w:before="200"/>
      </w:pPr>
      <w:r>
        <w:rPr>
          <w:rFonts w:ascii="Calibri" w:cs="Calibri" w:eastAsia="Calibri" w:hAnsi="Calibri"/>
          <w:b/>
          <w:bCs/>
          <w:color w:val="0E3A4F"/>
          <w:sz w:val="22"/>
          <w:szCs w:val="22"/>
        </w:rPr>
        <w:t xml:space="preserve">The cost nobody puts in the model</w:t>
      </w:r>
    </w:p>
    <w:p>
      <w:pPr>
        <w:spacing w:after="120" w:line="276"/>
      </w:pPr>
      <w:r>
        <w:rPr>
          <w:rFonts w:ascii="Calibri" w:cs="Calibri" w:eastAsia="Calibri" w:hAnsi="Calibri"/>
          <w:color w:val="1A1A1A"/>
          <w:sz w:val="21"/>
          <w:szCs w:val="21"/>
        </w:rPr>
        <w:t xml:space="preserve">The vendor invoice is frequently the smaller half. If the business case only nets against the licence, it will not survive a Finance review, and worse, it will overstate the value in a way that is discovered after the scale commitment.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620"/>
        <w:gridCol w:w="3182"/>
        <w:gridCol w:w="3558"/>
      </w:tblGrid>
      <w:tr>
        <w:trPr>
          <w:tblHeader/>
        </w:trPr>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Cost line</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Basis</w:t>
            </w:r>
          </w:p>
        </w:tc>
        <w:tc>
          <w:tcPr>
            <w:tcW w:type="dxa" w:w="355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Often missed because</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fixed fee</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Contract</w:t>
            </w:r>
          </w:p>
        </w:tc>
        <w:tc>
          <w:tcPr>
            <w:tcW w:type="dxa" w:w="355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Capacity relief</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Released FTE × fully loaded cost × 90 days</w:t>
            </w:r>
          </w:p>
        </w:tc>
        <w:tc>
          <w:tcPr>
            <w:tcW w:type="dxa" w:w="355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feels like existing headcount rather than a studio cost</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Backfill or pipeline reduction</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Overtime, contractor, or deferred volume</w:t>
            </w:r>
          </w:p>
        </w:tc>
        <w:tc>
          <w:tcPr>
            <w:tcW w:type="dxa" w:w="355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cost lands in another cost centre</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integration effort</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Engineer days × loaded rate</w:t>
            </w:r>
          </w:p>
        </w:tc>
        <w:tc>
          <w:tcPr>
            <w:tcW w:type="dxa" w:w="355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Absorbed into a run-the-bank budget</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 FTE for a quarter</w:t>
            </w:r>
          </w:p>
        </w:tc>
        <w:tc>
          <w:tcPr>
            <w:tcW w:type="dxa" w:w="355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Frequently a senior person whose time is expensive</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Control function time</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 Compliance, Model Risk, Procurement</w:t>
            </w:r>
          </w:p>
        </w:tc>
        <w:tc>
          <w:tcPr>
            <w:tcW w:type="dxa" w:w="355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Spread thin across many people</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Review overhead in ops</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parallel-run tax (one-pager 04)</w:t>
            </w:r>
          </w:p>
        </w:tc>
        <w:tc>
          <w:tcPr>
            <w:tcW w:type="dxa" w:w="355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Measured by the studio but left out of the cost model</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Opportunity cost</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the team would otherwise have delivered</w:t>
            </w:r>
          </w:p>
        </w:tc>
        <w:tc>
          <w:tcPr>
            <w:tcW w:type="dxa" w:w="355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Uncomfortable, but Finance will ask</w:t>
            </w:r>
          </w:p>
        </w:tc>
      </w:tr>
    </w:tbl>
    <w:p>
      <w:pPr>
        <w:spacing w:after="160"/>
      </w:pPr>
    </w:p>
    <w:p>
      <w:pPr>
        <w:spacing w:after="80" w:before="200"/>
      </w:pPr>
      <w:r>
        <w:rPr>
          <w:rFonts w:ascii="Calibri" w:cs="Calibri" w:eastAsia="Calibri" w:hAnsi="Calibri"/>
          <w:b/>
          <w:bCs/>
          <w:color w:val="0E3A4F"/>
          <w:sz w:val="22"/>
          <w:szCs w:val="22"/>
        </w:rPr>
        <w:t xml:space="preserve">Timeline commitments — what a date actually means</w:t>
      </w:r>
    </w:p>
    <w:p>
      <w:pPr>
        <w:pStyle w:val="ListParagraph"/>
        <w:numPr>
          <w:ilvl w:val="0"/>
          <w:numId w:val="3"/>
        </w:numPr>
        <w:spacing w:after="80" w:line="276"/>
      </w:pPr>
      <w:r>
        <w:rPr>
          <w:rFonts w:ascii="Calibri" w:cs="Calibri" w:eastAsia="Calibri" w:hAnsi="Calibri"/>
          <w:color w:val="1A1A1A"/>
          <w:sz w:val="21"/>
          <w:szCs w:val="21"/>
        </w:rPr>
        <w:t xml:space="preserve">The 90 days are </w:t>
      </w:r>
      <w:r>
        <w:rPr>
          <w:rFonts w:ascii="Calibri" w:cs="Calibri" w:eastAsia="Calibri" w:hAnsi="Calibri"/>
          <w:b/>
          <w:bCs/>
          <w:color w:val="1A1A1A"/>
          <w:sz w:val="21"/>
          <w:szCs w:val="21"/>
        </w:rPr>
        <w:t xml:space="preserve">gate-driven</w:t>
      </w:r>
      <w:r>
        <w:rPr>
          <w:rFonts w:ascii="Calibri" w:cs="Calibri" w:eastAsia="Calibri" w:hAnsi="Calibri"/>
          <w:color w:val="1A1A1A"/>
          <w:sz w:val="21"/>
          <w:szCs w:val="21"/>
        </w:rPr>
        <w:t xml:space="preserve">; contractual dates should reference gates, not fixed calendar days</w:t>
      </w:r>
    </w:p>
    <w:p>
      <w:pPr>
        <w:pStyle w:val="ListParagraph"/>
        <w:numPr>
          <w:ilvl w:val="0"/>
          <w:numId w:val="3"/>
        </w:numPr>
        <w:spacing w:after="80" w:line="276"/>
      </w:pPr>
      <w:r>
        <w:rPr>
          <w:rFonts w:ascii="Calibri" w:cs="Calibri" w:eastAsia="Calibri" w:hAnsi="Calibri"/>
          <w:color w:val="1A1A1A"/>
          <w:sz w:val="21"/>
          <w:szCs w:val="21"/>
        </w:rPr>
        <w:t xml:space="preserve">A gate that extends does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automatically trigger additional vendor fees — build this in, or Extend becomes financially punitive and the gate stops being honest</w:t>
      </w:r>
    </w:p>
    <w:p>
      <w:pPr>
        <w:pStyle w:val="ListParagraph"/>
        <w:numPr>
          <w:ilvl w:val="0"/>
          <w:numId w:val="3"/>
        </w:numPr>
        <w:spacing w:after="80" w:line="276"/>
      </w:pPr>
      <w:r>
        <w:rPr>
          <w:rFonts w:ascii="Calibri" w:cs="Calibri" w:eastAsia="Calibri" w:hAnsi="Calibri"/>
          <w:color w:val="1A1A1A"/>
          <w:sz w:val="21"/>
          <w:szCs w:val="21"/>
        </w:rPr>
        <w:t xml:space="preserve">Vendor dependency dates (one-pager 01) are contractual obligations with named consequences, not aspirations</w:t>
      </w:r>
    </w:p>
    <w:p>
      <w:pPr>
        <w:pStyle w:val="ListParagraph"/>
        <w:numPr>
          <w:ilvl w:val="0"/>
          <w:numId w:val="3"/>
        </w:numPr>
        <w:spacing w:after="80" w:line="276"/>
      </w:pPr>
      <w:r>
        <w:rPr>
          <w:rFonts w:ascii="Calibri" w:cs="Calibri" w:eastAsia="Calibri" w:hAnsi="Calibri"/>
          <w:color w:val="1A1A1A"/>
          <w:sz w:val="21"/>
          <w:szCs w:val="21"/>
        </w:rPr>
        <w:t xml:space="preserve">Our own dependencies — security review, environment access, data extraction — are equally binding, and slippage on our side should not create a vendor claim if it was caused by their late input</w:t>
      </w:r>
    </w:p>
    <w:p>
      <w:pPr>
        <w:pStyle w:val="ListParagraph"/>
        <w:numPr>
          <w:ilvl w:val="0"/>
          <w:numId w:val="3"/>
        </w:numPr>
        <w:spacing w:after="80" w:line="276"/>
      </w:pPr>
      <w:r>
        <w:rPr>
          <w:rFonts w:ascii="Calibri" w:cs="Calibri" w:eastAsia="Calibri" w:hAnsi="Calibri"/>
          <w:color w:val="1A1A1A"/>
          <w:sz w:val="21"/>
          <w:szCs w:val="21"/>
        </w:rPr>
        <w:t xml:space="preserve">One extension of up to 60 days is priced in advance so the Extend outcome is available without renegotiation</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Cost model — complete before G0, refresh at G4</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4118"/>
        <w:gridCol w:w="2620"/>
        <w:gridCol w:w="2622"/>
      </w:tblGrid>
      <w:tr>
        <w:trPr>
          <w:tblHeader/>
        </w:trPr>
        <w:tc>
          <w:tcPr>
            <w:tcW w:type="dxa" w:w="411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Line</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Studio (90 days)</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At scale (annual)</w:t>
            </w:r>
          </w:p>
        </w:tc>
      </w:tr>
      <w:tr>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fees</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Internal labour — studio team</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Backfill / pipeline reduction</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integration and run cost</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Control function time</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Review overhead in operations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Contingency</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Total cost</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Loans processed</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Cost per loan</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The scale column is an estimate at G0 and a defended figure at G4. Both are needed — the G0 version is what tells you whether the studio is worth running at all.</w:t>
      </w:r>
    </w:p>
    <w:p>
      <w:pPr>
        <w:spacing w:after="80" w:before="200"/>
      </w:pPr>
      <w:r>
        <w:rPr>
          <w:rFonts w:ascii="Calibri" w:cs="Calibri" w:eastAsia="Calibri" w:hAnsi="Calibri"/>
          <w:b/>
          <w:bCs/>
          <w:color w:val="0E3A4F"/>
          <w:sz w:val="22"/>
          <w:szCs w:val="22"/>
        </w:rPr>
        <w:t xml:space="preserve">Payment schedule tied to gates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931"/>
        <w:gridCol w:w="2247"/>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Milestone</w:t>
            </w:r>
          </w:p>
        </w:tc>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Trigger</w:t>
            </w:r>
          </w:p>
        </w:tc>
        <w:tc>
          <w:tcPr>
            <w:tcW w:type="dxa" w:w="224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 of fee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Mobilisation</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Contract signature; environment provisioned</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G1 — baseline locked</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Extraction working; shadow processing live</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G2 — live authorised</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Accuracy evidence delivered; enablement on track</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G3 — live period complete</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Live slice operating; defects triaged</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G4 — decision</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Evidence pack delivered; independence assessment complete</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Holding a meaningful final tranche to G4 keeps vendor attention on evidence quality and enablement through the last month, which is exactly when both usually slip.</w:t>
      </w:r>
    </w:p>
    <w:p>
      <w:pPr>
        <w:spacing w:after="80" w:before="200"/>
      </w:pPr>
      <w:r>
        <w:rPr>
          <w:rFonts w:ascii="Calibri" w:cs="Calibri" w:eastAsia="Calibri" w:hAnsi="Calibri"/>
          <w:b/>
          <w:bCs/>
          <w:color w:val="0E3A4F"/>
          <w:sz w:val="22"/>
          <w:szCs w:val="22"/>
        </w:rPr>
        <w:t xml:space="preserve">Budget pre-commitment by outcome — agreed at G0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5054"/>
        <w:gridCol w:w="2434"/>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Outcome</w:t>
            </w:r>
          </w:p>
        </w:tc>
        <w:tc>
          <w:tcPr>
            <w:tcW w:type="dxa" w:w="505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Budget consequence</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Approved by</w:t>
            </w:r>
          </w:p>
        </w:tc>
      </w:tr>
      <w:tr>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w:t>
            </w:r>
          </w:p>
        </w:tc>
        <w:tc>
          <w:tcPr>
            <w:tcW w:type="dxa" w:w="505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 envelope of $___ released within 30 days</w:t>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Narrow</w:t>
            </w:r>
          </w:p>
        </w:tc>
        <w:tc>
          <w:tcPr>
            <w:tcW w:type="dxa" w:w="505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Reduced-scope pricing applies without renegotiation</w:t>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Extend</w:t>
            </w:r>
          </w:p>
        </w:tc>
        <w:tc>
          <w:tcPr>
            <w:tcW w:type="dxa" w:w="505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Incremental limit of $___ for up to 60 days</w:t>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Stop</w:t>
            </w:r>
          </w:p>
        </w:tc>
        <w:tc>
          <w:tcPr>
            <w:tcW w:type="dxa" w:w="505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further spend; exit and data return costs of $___ funded</w:t>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Cost model built; scale pricing negotiated; envelope approved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Signed commercials</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Monthly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Actual vs. budget, including internal cost</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Cost tracking</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each gate</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Payment milestone assessed against evidence, not calendar</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Payment release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70</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 cost model refreshed with real studio data</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Defensible scale figure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G4</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Full cost presented alongside value; outcome consequence triggered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Business case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Scale pricing agreed and valid through G4 plus 90 days, before Gate 2</w:t>
      </w:r>
    </w:p>
    <w:p>
      <w:pPr>
        <w:pStyle w:val="ListParagraph"/>
        <w:numPr>
          <w:ilvl w:val="0"/>
          <w:numId w:val="3"/>
        </w:numPr>
        <w:spacing w:after="80" w:line="276"/>
      </w:pPr>
      <w:r>
        <w:rPr>
          <w:rFonts w:ascii="Calibri" w:cs="Calibri" w:eastAsia="Calibri" w:hAnsi="Calibri"/>
          <w:color w:val="1A1A1A"/>
          <w:sz w:val="21"/>
          <w:szCs w:val="21"/>
        </w:rPr>
        <w:t xml:space="preserve">Fixed-fee studio scope with change control, not time and materials</w:t>
      </w:r>
    </w:p>
    <w:p>
      <w:pPr>
        <w:pStyle w:val="ListParagraph"/>
        <w:numPr>
          <w:ilvl w:val="0"/>
          <w:numId w:val="3"/>
        </w:numPr>
        <w:spacing w:after="80" w:line="276"/>
      </w:pPr>
      <w:r>
        <w:rPr>
          <w:rFonts w:ascii="Calibri" w:cs="Calibri" w:eastAsia="Calibri" w:hAnsi="Calibri"/>
          <w:color w:val="1A1A1A"/>
          <w:sz w:val="21"/>
          <w:szCs w:val="21"/>
        </w:rPr>
        <w:t xml:space="preserve">Payments tied to gate evidence rather than calendar dates</w:t>
      </w:r>
    </w:p>
    <w:p>
      <w:pPr>
        <w:pStyle w:val="ListParagraph"/>
        <w:numPr>
          <w:ilvl w:val="0"/>
          <w:numId w:val="3"/>
        </w:numPr>
        <w:spacing w:after="80" w:line="276"/>
      </w:pPr>
      <w:r>
        <w:rPr>
          <w:rFonts w:ascii="Calibri" w:cs="Calibri" w:eastAsia="Calibri" w:hAnsi="Calibri"/>
          <w:color w:val="1A1A1A"/>
          <w:sz w:val="21"/>
          <w:szCs w:val="21"/>
        </w:rPr>
        <w:t xml:space="preserve">Internal cost tracked with the same rigour as vendor cost</w:t>
      </w:r>
    </w:p>
    <w:p>
      <w:pPr>
        <w:pStyle w:val="ListParagraph"/>
        <w:numPr>
          <w:ilvl w:val="0"/>
          <w:numId w:val="3"/>
        </w:numPr>
        <w:spacing w:after="80" w:line="276"/>
      </w:pPr>
      <w:r>
        <w:rPr>
          <w:rFonts w:ascii="Calibri" w:cs="Calibri" w:eastAsia="Calibri" w:hAnsi="Calibri"/>
          <w:color w:val="1A1A1A"/>
          <w:sz w:val="21"/>
          <w:szCs w:val="21"/>
        </w:rPr>
        <w:t xml:space="preserve">Every G4 outcome carrying a pre-approved budget number, including Stop</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 pricing negotiated after a successful studio</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Agreed at contract signature with a validity window past G4; a refusal to price is a signal in itself</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Procurement</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Business case built on vendor fee alone and fails Finance review</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 owns the cost model and includes internal cost from G0</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Extend becomes financially punitive so the gate is not taken honestly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Extension priced in advance as part of the original contract</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Scope creep converted into change orders that erode the fixed fee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Tight scope definition (one-pager 24) with named deliverables and change control</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Procurement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Auto-renewal or minimum commitment survives a no-go</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auto-renewal, no minimum, termination for convenience — checked at MSA level (one-pager 26)</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Legal</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Internal cost is invisible so the studio looks cheaper than it is</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Capacity relief and IT effort tracked as studio cost lines from Day 1</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Cost &amp; Timeline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&amp; Timeline</dc:title>
  <dc:creator>Design Studio Program Office</dc:creator>
  <dc:description>What the 90 days actually costs, and why scale pricing is negotiated before you know the answer.</dc:description>
  <cp:lastModifiedBy>Un-named</cp:lastModifiedBy>
  <cp:revision>1</cp:revision>
  <dcterms:created xsi:type="dcterms:W3CDTF">2026-08-04T00:29:15.474Z</dcterms:created>
  <dcterms:modified xsi:type="dcterms:W3CDTF">2026-08-04T00:29:15.474Z</dcterms:modified>
</cp:coreProperties>
</file>

<file path=docProps/custom.xml><?xml version="1.0" encoding="utf-8"?>
<Properties xmlns="http://schemas.openxmlformats.org/officeDocument/2006/custom-properties" xmlns:vt="http://schemas.openxmlformats.org/officeDocument/2006/docPropsVTypes"/>
</file>