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LOGISTICS — COMMERCIAL ALIGNMENT  │  ONE-PAGER 24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Commercial Scope Definition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Named deliverables with quantities and acceptance — because "support as required" is not a scope.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define what JazzX is contractually obliged to deliver, what we are obliged to provide, and how either party knows a deliverable is complete. This is distinct from the studio's operational scope: one-pager 10 defines which loans the studio runs, while this document defines what the vendor owes us. Vague scope is the single most common source of mid-studio friction, and it is entirely preventable at contract stage.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 / Vendor Management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scope schedule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specifies what is actually needed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technical deliverables and dependencies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links scope to price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acceptance and remedy language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Engagement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commits on the vendor side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deliverable has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named quantity and an acceptance criterion.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"Reasonable support", "best efforts" and "as required" are removed from the document.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People are named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roled. A commitment to "a solutions engineer" is a commitment to nobody; the studio depends on continuity of the individual who learns our guidelines.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Enablement is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contracted deliverable with acceptance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a courtesy. If it is not in scope with a test, it will be the first thing to slip (see one-pager 18).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Our obligations are in scope too.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one-sided scope lets delivery failures be attributed to us without evidence, and lets our own slippage go unmanaged.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Anything not listed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out of scope and priced separately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stated explicitly rather than left to inference.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JazzX deliverables — the minimum specification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620"/>
        <w:gridCol w:w="3369"/>
        <w:gridCol w:w="3371"/>
      </w:tblGrid>
      <w:tr>
        <w:trPr>
          <w:tblHeader/>
        </w:trPr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36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Quantity / specification</w:t>
            </w:r>
          </w:p>
        </w:tc>
        <w:tc>
          <w:tcPr>
            <w:tcW w:type="dxa" w:w="337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Accepted when</w:t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Dedicated studio environment, provisioned by Day −7</w:t>
            </w:r>
          </w:p>
        </w:tc>
        <w:tc>
          <w:tcPr>
            <w:tcW w:type="dxa" w:w="33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team can log in and process a test loan end to end</w:t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Integration support</w:t>
            </w:r>
          </w:p>
        </w:tc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engineer, ___ hours/week through Day 30</w:t>
            </w:r>
          </w:p>
        </w:tc>
        <w:tc>
          <w:tcPr>
            <w:tcW w:type="dxa" w:w="337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Extraction working and reconciled on real files</w:t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Tuning engineer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individual, ___ hours/week, Days 15–90</w:t>
            </w:r>
          </w:p>
        </w:tc>
        <w:tc>
          <w:tcPr>
            <w:tcW w:type="dxa" w:w="33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 cycle delivered without slippage</w:t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Builder Studio access</w:t>
            </w:r>
          </w:p>
        </w:tc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___ named users, live by Day 30, including one underwriter</w:t>
            </w:r>
          </w:p>
        </w:tc>
        <w:tc>
          <w:tcPr>
            <w:tcW w:type="dxa" w:w="337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users can make and ship a change</w:t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Structured enablement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___ sessions, defined syllabus, by Day 30</w:t>
            </w:r>
          </w:p>
        </w:tc>
        <w:tc>
          <w:tcPr>
            <w:tcW w:type="dxa" w:w="33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Independence assessment passed at Day 85 (one-pager 18)</w:t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Audit-grade output logging</w:t>
            </w:r>
          </w:p>
        </w:tc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Live by Day 45</w:t>
            </w:r>
          </w:p>
        </w:tc>
        <w:tc>
          <w:tcPr>
            <w:tcW w:type="dxa" w:w="337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output reconstructible for any studio loan</w:t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Model change notification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notice ___ days before any model change</w:t>
            </w:r>
          </w:p>
        </w:tc>
        <w:tc>
          <w:tcPr>
            <w:tcW w:type="dxa" w:w="33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Notice actually received before a change lands</w:t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Documentation</w:t>
            </w:r>
          </w:p>
        </w:tc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Configuration, prompts, mappings — retainable by us</w:t>
            </w:r>
          </w:p>
        </w:tc>
        <w:tc>
          <w:tcPr>
            <w:tcW w:type="dxa" w:w="337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Held in our systems, readable without vendor tooling</w:t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Escalation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contacts, defined response times</w:t>
            </w:r>
          </w:p>
        </w:tc>
        <w:tc>
          <w:tcPr>
            <w:tcW w:type="dxa" w:w="33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Two escalations handled within the stated times</w:t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Exit support</w:t>
            </w:r>
          </w:p>
        </w:tc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return and deletion within ___ days of notice</w:t>
            </w:r>
          </w:p>
        </w:tc>
        <w:tc>
          <w:tcPr>
            <w:tcW w:type="dxa" w:w="337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Certificate of deletion received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Our obligations — equally binding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Named studio team released and available from Day 1 (one-pager 09)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Environment and network access for the vendor within the agreed security envelope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extraction from our side working to the agreed specification by Day 10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Named decision-makers available for gate reviews within the scheduled window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 data and a defined set of representative loan files for initial configuration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Timely security review completion — with the caveat that our review cannot be delayed by their late documentation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Explicitly out of scope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Naming these prevents the most common mid-studio dispute, which is not about what was promised but about what was assumed.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Production-grade hosting, availability guarantees, or SLAs beyond the studio support model (one-pager 22)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 development beyond configuration and tuning within the product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Integration with any system other than those named in the scope schedule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Write-back to our system of record unless separately approved at G2 (one-pager 20)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Training for users outside the named studio team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Historical reprocessing beyond the agreed holdout and regression sets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commitment on model performance — the studio exists to measure it, not to have it warranted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Change control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change request is raised in writing by either party, with the reason and the deliverable affected.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Lead assesses whether it is genuinely new scope or a clarification of existing scope — most requests are the latter, and clarifications are not chargeable.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Genuine scope changes are priced against the agreed rate card before any work begins.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Anything that moves a gate date requires a Steering decision (one-pager 02), not just a commercial agreement.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change register is reviewed at every gate so cumulative drift is visible rather than discovered at the end.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Named individuals — the continuity that actually matters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433"/>
        <w:gridCol w:w="2246"/>
        <w:gridCol w:w="2246"/>
        <w:gridCol w:w="2435"/>
      </w:tblGrid>
      <w:tr>
        <w:trPr>
          <w:tblHeader/>
        </w:trPr>
        <w:tc>
          <w:tcPr>
            <w:tcW w:type="dxa" w:w="243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Named individual</w:t>
            </w:r>
          </w:p>
        </w:tc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243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Replacement terms</w:t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Engagement lead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Notice + handover overlap</w:t>
            </w:r>
          </w:p>
        </w:tc>
      </w:tr>
      <w:tr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Integration engineer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engineer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Enablement lead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Require a handover overlap for any replacement. A new engineer who has not learned our condition taxonomy costs weeks that the 90 days do not have.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Scope change register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620"/>
        <w:gridCol w:w="1497"/>
        <w:gridCol w:w="2246"/>
        <w:gridCol w:w="1310"/>
        <w:gridCol w:w="1687"/>
      </w:tblGrid>
      <w:tr>
        <w:trPr>
          <w:tblHeader/>
        </w:trPr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Raised by</w:t>
            </w:r>
          </w:p>
        </w:tc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New scope or clarification?</w:t>
            </w:r>
          </w:p>
        </w:tc>
        <w:tc>
          <w:tcPr>
            <w:tcW w:type="dxa" w:w="131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68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 impact</w:t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Pre-G0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Scope schedule agreed with quantities and acceptance criteria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Signed scope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Deliverable status reviewed in the working group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Delivery tracking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register reviewed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Drift visibility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each gate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Deliverables accepted or formally not accepted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Acceptance record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G4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Final acceptance and any outstanding obligations recorded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Closeout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deliverable carrying a quantity and an acceptance criterion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Named individuals with replacement and handover terms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obligations documented alongside theirs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Out-of-scope list explicit rather than implied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Change register reviewed at every gate with no undisclosed cumulative drift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"Support as required" language leaves the vendor commitment unenforceable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Quantities and acceptance criteria on every line; Legal reviews for vague terms before signature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Key vendor individual replaced mid-studio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individuals with notice and handover overlap terms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Enablement slips because it is not a contracted deliverable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 scope with acceptance tied to the Day 85 independence assessment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Clarifications repriced as change orders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 assesses new-scope vs. clarification before any pricing conversation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own late delivery becomes the vendor's defence for missing theirs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obligations documented and tracked with the same discipline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asked to warrant model performance, which they cannot and should not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Performance is measured by the studio, not warranted; stated as out of scope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Commercial Scope Definition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Scope Definition</dc:title>
  <dc:creator>Design Studio Program Office</dc:creator>
  <dc:description>Named deliverables with quantities and acceptance — because "support as required" is not a scope.</dc:description>
  <cp:lastModifiedBy>Un-named</cp:lastModifiedBy>
  <cp:revision>1</cp:revision>
  <dcterms:created xsi:type="dcterms:W3CDTF">2026-08-04T00:29:15.506Z</dcterms:created>
  <dcterms:modified xsi:type="dcterms:W3CDTF">2026-08-04T00:29:15.506Z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