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3E8FA3"/>
          <w:spacing w:val="30"/>
          <w:sz w:val="17"/>
          <w:szCs w:val="17"/>
        </w:rPr>
        <w:t xml:space="preserve">LOGISTICS — COMMERCIAL ALIGNMENT  │  ONE-PAGER 25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E3A4F"/>
          <w:sz w:val="40"/>
          <w:szCs w:val="40"/>
        </w:rPr>
        <w:t xml:space="preserve">Statement of Work (SOW)</w:t>
      </w:r>
    </w:p>
    <w:p>
      <w:pPr>
        <w:pBdr>
          <w:bottom w:val="single" w:color="1B6B7C" w:sz="12" w:space="8"/>
        </w:pBdr>
        <w:spacing w:after="200"/>
      </w:pPr>
      <w:r>
        <w:rPr>
          <w:rFonts w:ascii="Calibri" w:cs="Calibri" w:eastAsia="Calibri" w:hAnsi="Calibri"/>
          <w:i/>
          <w:iCs/>
          <w:color w:val="5A6B73"/>
          <w:sz w:val="21"/>
          <w:szCs w:val="21"/>
        </w:rPr>
        <w:t xml:space="preserve">The studio-specific terms that a standard implementation SOW will not contain.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PURPOSE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 specify what the SOW must contain for a 90-day AI studio, as distinct from a normal software implementation. A studio has three properties an implementation does not: it is designed to be capable of failing, it produces evidence rather than a system, and it is meant to leave capability behind. Each of those needs a clause that standard templates omit.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OWNER &amp; RACI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3182"/>
        <w:gridCol w:w="3744"/>
        <w:gridCol w:w="2434"/>
      </w:tblGrid>
      <w:tr>
        <w:trPr>
          <w:tblHeader/>
        </w:trPr>
        <w:tc>
          <w:tcPr>
            <w:tcW w:type="dxa" w:w="318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744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Who (fill in at G0)</w:t>
            </w:r>
          </w:p>
        </w:tc>
        <w:tc>
          <w:tcPr>
            <w:tcW w:type="dxa" w:w="2434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 / A / C / I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Procurement / Vendor Management</w:t>
            </w:r>
          </w:p>
        </w:tc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 — owns the SOW</w:t>
            </w:r>
          </w:p>
        </w:tc>
      </w:tr>
      <w:tr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Legal</w:t>
            </w:r>
          </w:p>
        </w:tc>
        <w:tc>
          <w:tcPr>
            <w:tcW w:type="dxa" w:w="374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 — drafts and approves terms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Lead</w:t>
            </w:r>
          </w:p>
        </w:tc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 — supplies the operational substance</w:t>
            </w:r>
          </w:p>
        </w:tc>
      </w:tr>
      <w:tr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IT lead</w:t>
            </w:r>
          </w:p>
        </w:tc>
        <w:tc>
          <w:tcPr>
            <w:tcW w:type="dxa" w:w="374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 — technical and data terms</w:t>
            </w:r>
          </w:p>
        </w:tc>
      </w:tr>
      <w:tr>
        <w:tc>
          <w:tcPr>
            <w:tcW w:type="dxa" w:w="318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InfoSec</w:t>
            </w:r>
          </w:p>
        </w:tc>
        <w:tc>
          <w:tcPr>
            <w:tcW w:type="dxa" w:w="374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 — data handling and security obligations</w:t>
            </w:r>
          </w:p>
        </w:tc>
      </w:tr>
      <w:tr>
        <w:tc>
          <w:tcPr>
            <w:tcW w:type="dxa" w:w="318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Executive Sponsor</w:t>
            </w:r>
          </w:p>
        </w:tc>
        <w:tc>
          <w:tcPr>
            <w:tcW w:type="dxa" w:w="374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  <w:tc>
          <w:tcPr>
            <w:tcW w:type="dxa" w:w="243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 — signs</w:t>
            </w:r>
          </w:p>
        </w:tc>
      </w:tr>
    </w:tbl>
    <w:p>
      <w:pPr>
        <w:spacing w:after="120"/>
      </w:pP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DECISIONS THIS DOCUMENT MAKES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Intellectual property in what we build is ours.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Prompts, condition mappings, configurations and tuning artifacts derived from our guidelines and our data must not be vendor IP, or the capability transfer in one-pager 18 is illusory.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SOW contains an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explicit no-go path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— termination at G4 with no penalty, defined data return and deletion, and no residual commitment.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Publicity is restricted until Gate 4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and reference use requires separate written consent. This is contractual, not a request.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Model change notification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is a contractual obligation with a notice period. A silent model upgrade mid-studio invalidates the comparison the studio exists to produce.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Our borrower data is not used to train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models serving other customers, without exception and without an opt-out buried in a policy document.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THE FRAMEWORK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The three clauses standard templates miss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2246"/>
        <w:gridCol w:w="3556"/>
        <w:gridCol w:w="3558"/>
      </w:tblGrid>
      <w:tr>
        <w:trPr>
          <w:tblHeader/>
        </w:trPr>
        <w:tc>
          <w:tcPr>
            <w:tcW w:type="dxa" w:w="2246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Clause</w:t>
            </w:r>
          </w:p>
        </w:tc>
        <w:tc>
          <w:tcPr>
            <w:tcW w:type="dxa" w:w="3556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 a studio needs it</w:t>
            </w:r>
          </w:p>
        </w:tc>
        <w:tc>
          <w:tcPr>
            <w:tcW w:type="dxa" w:w="3558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happens without it</w:t>
            </w:r>
          </w:p>
        </w:tc>
      </w:tr>
      <w:tr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IP in tuning artifacts</w:t>
            </w:r>
          </w:p>
        </w:tc>
        <w:tc>
          <w:tcPr>
            <w:tcW w:type="dxa" w:w="35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Prompts and condition mappings encode our credit policy, developed by our underwriters</w:t>
            </w:r>
          </w:p>
        </w:tc>
        <w:tc>
          <w:tcPr>
            <w:tcW w:type="dxa" w:w="35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The capability we spent 90 days building cannot be taken to another vendor or operated independently — the enablement was theatre</w:t>
            </w:r>
          </w:p>
        </w:tc>
      </w:tr>
      <w:tr>
        <w:tc>
          <w:tcPr>
            <w:tcW w:type="dxa" w:w="224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Model change notification</w:t>
            </w:r>
          </w:p>
        </w:tc>
        <w:tc>
          <w:tcPr>
            <w:tcW w:type="dxa" w:w="355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The studio measures a system; if the system changes silently, the measurement is void</w:t>
            </w:r>
          </w:p>
        </w:tc>
        <w:tc>
          <w:tcPr>
            <w:tcW w:type="dxa" w:w="355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Accuracy shifts mid-studio with no attributable cause; the improvement log (one-pager 16) becomes unreliable and Gate 4 evidence is unsound</w:t>
            </w:r>
          </w:p>
        </w:tc>
      </w:tr>
      <w:tr>
        <w:tc>
          <w:tcPr>
            <w:tcW w:type="dxa" w:w="224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Clean no-go exit</w:t>
            </w:r>
          </w:p>
        </w:tc>
        <w:tc>
          <w:tcPr>
            <w:tcW w:type="dxa" w:w="35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The studio is designed to be capable of producing a Stop</w:t>
            </w:r>
          </w:p>
        </w:tc>
        <w:tc>
          <w:tcPr>
            <w:tcW w:type="dxa" w:w="35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Stop carries a financial or contractual penalty, so the gate stops being honest and the pilot drifts into a rollout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SOW checklist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Work through this before signature. Items marked with an asterisk are the ones most often missing from a vendor's standard template.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Scope schedule with quantities and acceptance criteria (one-pager 24)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Named individuals with replacement and handover terms *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Fixed fee, payment milestones tied to gates *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Scale pricing, contingent on a go decision, valid past G4 *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Extension pricing agreed in advance *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IP: pre-existing IP stays with each party;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artifacts derived from our data and guidelines are ours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*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Data handling: classes, purpose limitation, retention period, deletion, certificate of deletion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No training on our data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for models serving other customers *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Model change notification with a defined notice period *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Subprocessors listed, with notice and objection rights on change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Security obligations aligned to the review (one-pager 27) and access controls (one-pager 28)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Support model appropriate to a studio, not production (one-pager 22)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Publicity and reference restriction until G4, then by written consent only *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Termination for convenience with a short notice period *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Exit: data return and deletion within a defined window, at no additional charge *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 auto-renewal, no minimum volume, no exclusivity *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Governing law, dispute resolution, limitation of liability (see one-pager 26 if under an MSA)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IP — the clause worth spending time on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Over 90 days your underwriters will encode a meaningful amount of credit policy into prompts and condition mappings. That work product is a translation of your guidelines, produced by your people, using your data. If the SOW leaves it as vendor IP or is silent, three things follow: you cannot take it elsewhere, you may not be able to inspect it, and the "capability transfer" the studio was measuring becomes a dependency you have paid to create.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Pre-existing platform IP remains the vendor's — this is reasonable and should not be contested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Configurations, prompts, condition mappings and tuning artifacts developed for us are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ours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or at minimum licensed to us perpetually, irrevocably and transferably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We can export them in a readable form at any time, without charge and without notice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They are not used for other customers without our written consent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On exit, we retain them regardless of the reason for termination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ARTIFACTS &amp; TEMPLATES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Data terms — complete before signature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3556"/>
        <w:gridCol w:w="5804"/>
      </w:tblGrid>
      <w:tr>
        <w:trPr>
          <w:tblHeader/>
        </w:trPr>
        <w:tc>
          <w:tcPr>
            <w:tcW w:type="dxa" w:w="3556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5804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Position</w:t>
            </w:r>
          </w:p>
        </w:tc>
      </w:tr>
      <w:tr>
        <w:tc>
          <w:tcPr>
            <w:tcW w:type="dxa" w:w="35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Data classes transferred</w:t>
            </w:r>
          </w:p>
        </w:tc>
        <w:tc>
          <w:tcPr>
            <w:tcW w:type="dxa" w:w="58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Per one-pager 20; enumerated, not open-ended</w:t>
            </w:r>
          </w:p>
        </w:tc>
      </w:tr>
      <w:tr>
        <w:tc>
          <w:tcPr>
            <w:tcW w:type="dxa" w:w="355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Purpose limitation</w:t>
            </w:r>
          </w:p>
        </w:tc>
        <w:tc>
          <w:tcPr>
            <w:tcW w:type="dxa" w:w="580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use only; no secondary use</w:t>
            </w:r>
          </w:p>
        </w:tc>
      </w:tr>
      <w:tr>
        <w:tc>
          <w:tcPr>
            <w:tcW w:type="dxa" w:w="35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Training on our data</w:t>
            </w:r>
          </w:p>
        </w:tc>
        <w:tc>
          <w:tcPr>
            <w:tcW w:type="dxa" w:w="58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Prohibited</w:t>
            </w: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 for models serving other customers</w:t>
            </w:r>
          </w:p>
        </w:tc>
      </w:tr>
      <w:tr>
        <w:tc>
          <w:tcPr>
            <w:tcW w:type="dxa" w:w="355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Retention period</w:t>
            </w:r>
          </w:p>
        </w:tc>
        <w:tc>
          <w:tcPr>
            <w:tcW w:type="dxa" w:w="580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5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Deletion on request</w:t>
            </w:r>
          </w:p>
        </w:tc>
        <w:tc>
          <w:tcPr>
            <w:tcW w:type="dxa" w:w="58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Within ___ days, with certificate</w:t>
            </w:r>
          </w:p>
        </w:tc>
      </w:tr>
      <w:tr>
        <w:tc>
          <w:tcPr>
            <w:tcW w:type="dxa" w:w="355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Data return format</w:t>
            </w:r>
          </w:p>
        </w:tc>
        <w:tc>
          <w:tcPr>
            <w:tcW w:type="dxa" w:w="580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Readable without vendor tooling</w:t>
            </w:r>
          </w:p>
        </w:tc>
      </w:tr>
      <w:tr>
        <w:tc>
          <w:tcPr>
            <w:tcW w:type="dxa" w:w="35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Subprocessors</w:t>
            </w:r>
          </w:p>
        </w:tc>
        <w:tc>
          <w:tcPr>
            <w:tcW w:type="dxa" w:w="58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Listed; notice and objection on change</w:t>
            </w:r>
          </w:p>
        </w:tc>
      </w:tr>
      <w:tr>
        <w:tc>
          <w:tcPr>
            <w:tcW w:type="dxa" w:w="355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Location of processing</w:t>
            </w:r>
          </w:p>
        </w:tc>
        <w:tc>
          <w:tcPr>
            <w:tcW w:type="dxa" w:w="580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5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Breach notification</w:t>
            </w:r>
          </w:p>
        </w:tc>
        <w:tc>
          <w:tcPr>
            <w:tcW w:type="dxa" w:w="580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Within ___ hours</w:t>
            </w:r>
          </w:p>
        </w:tc>
      </w:tr>
      <w:tr>
        <w:tc>
          <w:tcPr>
            <w:tcW w:type="dxa" w:w="355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Regulatory examination access</w:t>
            </w:r>
          </w:p>
        </w:tc>
        <w:tc>
          <w:tcPr>
            <w:tcW w:type="dxa" w:w="5804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Per one-pager 26</w:t>
            </w:r>
          </w:p>
        </w:tc>
      </w:tr>
    </w:tbl>
    <w:p>
      <w:pPr>
        <w:spacing w:after="1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E3A4F"/>
          <w:sz w:val="22"/>
          <w:szCs w:val="22"/>
        </w:rPr>
        <w:t xml:space="preserve">Signature readiness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5241"/>
        <w:gridCol w:w="2433"/>
        <w:gridCol w:w="1686"/>
      </w:tblGrid>
      <w:tr>
        <w:trPr>
          <w:tblHeader/>
        </w:trPr>
        <w:tc>
          <w:tcPr>
            <w:tcW w:type="dxa" w:w="5241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2433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1686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Cleared</w:t>
            </w:r>
          </w:p>
        </w:tc>
      </w:tr>
      <w:tr>
        <w:tc>
          <w:tcPr>
            <w:tcW w:type="dxa" w:w="524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Scope schedule complete with acceptance criteria</w:t>
            </w:r>
          </w:p>
        </w:tc>
        <w:tc>
          <w:tcPr>
            <w:tcW w:type="dxa" w:w="24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Lead</w:t>
            </w:r>
          </w:p>
        </w:tc>
        <w:tc>
          <w:tcPr>
            <w:tcW w:type="dxa" w:w="16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241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IP position secured on tuning artifacts</w:t>
            </w:r>
          </w:p>
        </w:tc>
        <w:tc>
          <w:tcPr>
            <w:tcW w:type="dxa" w:w="2433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Legal</w:t>
            </w:r>
          </w:p>
        </w:tc>
        <w:tc>
          <w:tcPr>
            <w:tcW w:type="dxa" w:w="168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24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No-training-on-our-data confirmed in writing</w:t>
            </w:r>
          </w:p>
        </w:tc>
        <w:tc>
          <w:tcPr>
            <w:tcW w:type="dxa" w:w="24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Legal</w:t>
            </w:r>
          </w:p>
        </w:tc>
        <w:tc>
          <w:tcPr>
            <w:tcW w:type="dxa" w:w="16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241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Model change notification clause present</w:t>
            </w:r>
          </w:p>
        </w:tc>
        <w:tc>
          <w:tcPr>
            <w:tcW w:type="dxa" w:w="2433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Lead</w:t>
            </w:r>
          </w:p>
        </w:tc>
        <w:tc>
          <w:tcPr>
            <w:tcW w:type="dxa" w:w="168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24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Scale and extension pricing agreed</w:t>
            </w:r>
          </w:p>
        </w:tc>
        <w:tc>
          <w:tcPr>
            <w:tcW w:type="dxa" w:w="24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Procurement</w:t>
            </w:r>
          </w:p>
        </w:tc>
        <w:tc>
          <w:tcPr>
            <w:tcW w:type="dxa" w:w="16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241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Clean exit path with no penalty</w:t>
            </w:r>
          </w:p>
        </w:tc>
        <w:tc>
          <w:tcPr>
            <w:tcW w:type="dxa" w:w="2433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Legal</w:t>
            </w:r>
          </w:p>
        </w:tc>
        <w:tc>
          <w:tcPr>
            <w:tcW w:type="dxa" w:w="168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24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Publicity restriction to G4</w:t>
            </w:r>
          </w:p>
        </w:tc>
        <w:tc>
          <w:tcPr>
            <w:tcW w:type="dxa" w:w="24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Sponsor</w:t>
            </w:r>
          </w:p>
        </w:tc>
        <w:tc>
          <w:tcPr>
            <w:tcW w:type="dxa" w:w="16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241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Security obligations aligned to the review</w:t>
            </w:r>
          </w:p>
        </w:tc>
        <w:tc>
          <w:tcPr>
            <w:tcW w:type="dxa" w:w="2433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InfoSec</w:t>
            </w:r>
          </w:p>
        </w:tc>
        <w:tc>
          <w:tcPr>
            <w:tcW w:type="dxa" w:w="1686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24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Named individuals with handover terms</w:t>
            </w:r>
          </w:p>
        </w:tc>
        <w:tc>
          <w:tcPr>
            <w:tcW w:type="dxa" w:w="24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Procurement</w:t>
            </w:r>
          </w:p>
        </w:tc>
        <w:tc>
          <w:tcPr>
            <w:tcW w:type="dxa" w:w="16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/>
            </w:r>
          </w:p>
        </w:tc>
      </w:tr>
    </w:tbl>
    <w:p>
      <w:pPr>
        <w:spacing w:after="160"/>
      </w:pP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CADENCE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2059"/>
        <w:gridCol w:w="4492"/>
        <w:gridCol w:w="2809"/>
      </w:tblGrid>
      <w:tr>
        <w:trPr>
          <w:tblHeader/>
        </w:trPr>
        <w:tc>
          <w:tcPr>
            <w:tcW w:type="dxa" w:w="2059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449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2809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Pre-G0</w:t>
            </w:r>
          </w:p>
        </w:tc>
        <w:tc>
          <w:tcPr>
            <w:tcW w:type="dxa" w:w="44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SOW drafted, reviewed against the checklist, signed</w:t>
            </w:r>
          </w:p>
        </w:tc>
        <w:tc>
          <w:tcPr>
            <w:tcW w:type="dxa" w:w="280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Executed SOW</w:t>
            </w:r>
          </w:p>
        </w:tc>
      </w:tr>
      <w:tr>
        <w:tc>
          <w:tcPr>
            <w:tcW w:type="dxa" w:w="205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At G0</w:t>
            </w:r>
          </w:p>
        </w:tc>
        <w:tc>
          <w:tcPr>
            <w:tcW w:type="dxa" w:w="449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Obligations extracted into the studio tracker</w:t>
            </w:r>
          </w:p>
        </w:tc>
        <w:tc>
          <w:tcPr>
            <w:tcW w:type="dxa" w:w="280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Deliverable tracking</w:t>
            </w:r>
          </w:p>
        </w:tc>
      </w:tr>
      <w:tr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At each gate</w:t>
            </w:r>
          </w:p>
        </w:tc>
        <w:tc>
          <w:tcPr>
            <w:tcW w:type="dxa" w:w="44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Deliverables accepted; obligations reviewed</w:t>
            </w:r>
          </w:p>
        </w:tc>
        <w:tc>
          <w:tcPr>
            <w:tcW w:type="dxa" w:w="280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Acceptance record</w:t>
            </w:r>
          </w:p>
        </w:tc>
      </w:tr>
      <w:tr>
        <w:tc>
          <w:tcPr>
            <w:tcW w:type="dxa" w:w="205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On any model change notice</w:t>
            </w:r>
          </w:p>
        </w:tc>
        <w:tc>
          <w:tcPr>
            <w:tcW w:type="dxa" w:w="449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Impact on comparison assessed before the change lands</w:t>
            </w:r>
          </w:p>
        </w:tc>
        <w:tc>
          <w:tcPr>
            <w:tcW w:type="dxa" w:w="2809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Impact assessment</w:t>
            </w:r>
          </w:p>
        </w:tc>
      </w:tr>
      <w:tr>
        <w:tc>
          <w:tcPr>
            <w:tcW w:type="dxa" w:w="20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At G4</w:t>
            </w:r>
          </w:p>
        </w:tc>
        <w:tc>
          <w:tcPr>
            <w:tcW w:type="dxa" w:w="449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Exit or scale provisions triggered per the decision</w:t>
            </w:r>
          </w:p>
        </w:tc>
        <w:tc>
          <w:tcPr>
            <w:tcW w:type="dxa" w:w="280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Closeout or scale SOW</w:t>
            </w:r>
          </w:p>
        </w:tc>
      </w:tr>
    </w:tbl>
    <w:p>
      <w:pPr>
        <w:spacing w:after="120"/>
      </w:pP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DEFINITION OF DONE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IP in tuning artifacts secured to us before any tuning begins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Written confirmation that our data does not train models for other customers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Model change notification clause with a workable notice period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Clean no-go exit with defined data return and no penalty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Publicity restricted until G4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Every SOW obligation tracked as a studio deliverable, not filed and forgotten</w:t>
      </w:r>
    </w:p>
    <w:p>
      <w:pPr>
        <w:pBdr>
          <w:bottom w:val="single" w:color="C9D6DC" w:sz="6" w:space="6"/>
        </w:pBdr>
        <w:spacing w:after="140" w:before="280"/>
      </w:pPr>
      <w:r>
        <w:rPr>
          <w:rFonts w:ascii="Calibri" w:cs="Calibri" w:eastAsia="Calibri" w:hAnsi="Calibri"/>
          <w:b/>
          <w:bCs/>
          <w:color w:val="1B6B7C"/>
          <w:spacing w:val="20"/>
          <w:sz w:val="20"/>
          <w:szCs w:val="20"/>
        </w:rPr>
        <w:t xml:space="preserve">RISKS &amp; ESCALATION</w:t>
      </w:r>
    </w:p>
    <w:tbl>
      <w:tblPr>
        <w:tblW w:type="dxa" w:w="9360"/>
        <w:tblBorders>
          <w:top w:val="single" w:color="C9D6DC" w:sz="2"/>
          <w:left w:val="single" w:color="C9D6DC" w:sz="2"/>
          <w:bottom w:val="single" w:color="C9D6DC" w:sz="2"/>
          <w:right w:val="single" w:color="C9D6DC" w:sz="2"/>
          <w:insideH w:val="single" w:color="C9D6DC" w:sz="2"/>
          <w:insideV w:val="single" w:color="C9D6DC" w:sz="2"/>
        </w:tblBorders>
      </w:tblPr>
      <w:tblGrid>
        <w:gridCol w:w="2808"/>
        <w:gridCol w:w="4212"/>
        <w:gridCol w:w="2340"/>
      </w:tblGrid>
      <w:tr>
        <w:trPr>
          <w:tblHeader/>
        </w:trPr>
        <w:tc>
          <w:tcPr>
            <w:tcW w:type="dxa" w:w="2808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4212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  <w:tc>
          <w:tcPr>
            <w:tcW w:type="dxa" w:w="2340"/>
            <w:shd w:fill="0E3A4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Escalates to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Tuning artifacts are vendor IP, making capability transfer illusory</w:t>
            </w:r>
          </w:p>
        </w:tc>
        <w:tc>
          <w:tcPr>
            <w:tcW w:type="dxa" w:w="4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IP position secured before signature and before any tuning starts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Legal</w:t>
            </w:r>
          </w:p>
        </w:tc>
      </w:tr>
      <w:tr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 silent model change invalidates the studio comparison</w:t>
            </w:r>
          </w:p>
        </w:tc>
        <w:tc>
          <w:tcPr>
            <w:tcW w:type="dxa" w:w="421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Contractual notification with notice period; configuration version logged per loan (one-pager 16)</w:t>
            </w:r>
          </w:p>
        </w:tc>
        <w:tc>
          <w:tcPr>
            <w:tcW w:type="dxa" w:w="234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Studio Lead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Our borrower data used to train models for other customers</w:t>
            </w:r>
          </w:p>
        </w:tc>
        <w:tc>
          <w:tcPr>
            <w:tcW w:type="dxa" w:w="4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Explicit prohibition in the SOW; confirmed in writing, not inferred from a policy page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Legal</w:t>
            </w:r>
          </w:p>
        </w:tc>
      </w:tr>
      <w:tr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Exit carries penalty or unclear data return, so Stop becomes expensive</w:t>
            </w:r>
          </w:p>
        </w:tc>
        <w:tc>
          <w:tcPr>
            <w:tcW w:type="dxa" w:w="421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Termination for convenience; defined return and deletion at no charge</w:t>
            </w:r>
          </w:p>
        </w:tc>
        <w:tc>
          <w:tcPr>
            <w:tcW w:type="dxa" w:w="234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Legal</w:t>
            </w:r>
          </w:p>
        </w:tc>
      </w:tr>
      <w:tr>
        <w:tc>
          <w:tcPr>
            <w:tcW w:type="dxa" w:w="280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Vendor publishes the engagement before a decision exists</w:t>
            </w:r>
          </w:p>
        </w:tc>
        <w:tc>
          <w:tcPr>
            <w:tcW w:type="dxa" w:w="421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Publicity restriction to G4, then written consent only</w:t>
            </w:r>
          </w:p>
        </w:tc>
        <w:tc>
          <w:tcPr>
            <w:tcW w:type="dxa" w:w="23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Executive Sponsor</w:t>
            </w:r>
          </w:p>
        </w:tc>
      </w:tr>
      <w:tr>
        <w:tc>
          <w:tcPr>
            <w:tcW w:type="dxa" w:w="2808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Standard vendor template signed under time pressure</w:t>
            </w:r>
          </w:p>
        </w:tc>
        <w:tc>
          <w:tcPr>
            <w:tcW w:type="dxa" w:w="4212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Checklist worked through before signature; the studio does not start without it</w:t>
            </w:r>
          </w:p>
        </w:tc>
        <w:tc>
          <w:tcPr>
            <w:tcW w:type="dxa" w:w="2340"/>
            <w:shd w:fill="F2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Procurement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6DC" w:sz="4" w:space="6"/>
      </w:pBdr>
    </w:pPr>
    <w:r>
      <w:rPr>
        <w:rFonts w:ascii="Calibri" w:cs="Calibri" w:eastAsia="Calibri" w:hAnsi="Calibri"/>
        <w:color w:val="5A6B73"/>
        <w:sz w:val="16"/>
        <w:szCs w:val="16"/>
      </w:rPr>
      <w:t xml:space="preserve">JazzX Design Studio — 90-Day Framework  │  Statement of Work (SOW)   </w:t>
    </w:r>
    <w:r>
      <w:rPr>
        <w:rFonts w:ascii="Calibri" w:cs="Calibri" w:eastAsia="Calibri" w:hAnsi="Calibri"/>
        <w:color w:val="5A6B73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03" w:hanging="259"/>
      </w:pPr>
      <w:rPr>
        <w:color w:val="1B6B7C"/>
        <w:sz w:val="21"/>
        <w:szCs w:val="21"/>
      </w:rPr>
    </w:lvl>
    <w:lvl w:ilvl="1" w15:tentative="1">
      <w:start w:val="1"/>
      <w:numFmt w:val="bullet"/>
      <w:lvlText w:val="○"/>
      <w:lvlJc w:val="left"/>
      <w:pPr>
        <w:ind w:left="763" w:hanging="259"/>
      </w:pPr>
      <w:rPr>
        <w:color w:val="5A6B73"/>
        <w:sz w:val="21"/>
        <w:szCs w:val="21"/>
      </w:rPr>
    </w:lvl>
    <w:lvl w:ilvl="2" w15:tentative="1">
      <w:start w:val="1"/>
      <w:numFmt w:val="bullet"/>
      <w:lvlText w:val="▪"/>
      <w:lvlJc w:val="left"/>
      <w:pPr>
        <w:ind w:left="1123" w:hanging="259"/>
      </w:pPr>
      <w:rPr>
        <w:color w:val="5A6B73"/>
        <w:sz w:val="21"/>
        <w:szCs w:val="2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  <w:rPr>
        <w:b/>
        <w:bCs/>
        <w:color w:val="1B6B7C"/>
        <w:sz w:val="21"/>
        <w:szCs w:val="21"/>
      </w:rPr>
    </w:lvl>
    <w:lvl w:ilvl="1" w15:tentative="1">
      <w:start w:val="1"/>
      <w:numFmt w:val="lowerLetter"/>
      <w:lvlText w:val="%2."/>
      <w:lvlJc w:val="left"/>
      <w:pPr>
        <w:ind w:left="835" w:hanging="316"/>
      </w:pPr>
      <w:rPr>
        <w:color w:val="5A6B73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Statement of Work (SOW)</dc:title>
  <dc:creator>Design Studio Program Office</dc:creator>
  <dc:description>The studio-specific terms that a standard implementation SOW will not contain.</dc:description>
  <cp:lastModifiedBy>Un-named</cp:lastModifiedBy>
  <cp:revision>1</cp:revision>
  <dcterms:created xsi:type="dcterms:W3CDTF">2026-08-04T00:29:15.538Z</dcterms:created>
  <dcterms:modified xsi:type="dcterms:W3CDTF">2026-08-04T00:29:15.538Z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