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3E8FA3"/>
          <w:spacing w:val="30"/>
          <w:sz w:val="17"/>
          <w:szCs w:val="17"/>
        </w:rPr>
        <w:t xml:space="preserve">LOGISTICS — COMMERCIAL ALIGNMENT  │  ONE-PAGER 26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E3A4F"/>
          <w:sz w:val="40"/>
          <w:szCs w:val="40"/>
        </w:rPr>
        <w:t xml:space="preserve">Master Services Agreement (MSA)</w:t>
      </w:r>
    </w:p>
    <w:p>
      <w:pPr>
        <w:pBdr>
          <w:bottom w:val="single" w:color="1B6B7C" w:sz="12" w:space="8"/>
        </w:pBdr>
        <w:spacing w:after="200"/>
      </w:pPr>
      <w:r>
        <w:rPr>
          <w:rFonts w:ascii="Calibri" w:cs="Calibri" w:eastAsia="Calibri" w:hAnsi="Calibri"/>
          <w:i/>
          <w:iCs/>
          <w:color w:val="5A6B73"/>
          <w:sz w:val="21"/>
          <w:szCs w:val="21"/>
        </w:rPr>
        <w:t xml:space="preserve">The durable terms underneath the SOW — written for an AI vendor handling borrower data in a regulated business.</w:t>
      </w:r>
    </w:p>
    <w:p>
      <w:pPr>
        <w:pBdr>
          <w:bottom w:val="single" w:color="C9D6DC" w:sz="6" w:space="6"/>
        </w:pBdr>
        <w:spacing w:after="140" w:before="280"/>
      </w:pPr>
      <w:r>
        <w:rPr>
          <w:rFonts w:ascii="Calibri" w:cs="Calibri" w:eastAsia="Calibri" w:hAnsi="Calibri"/>
          <w:b/>
          <w:bCs/>
          <w:color w:val="1B6B7C"/>
          <w:spacing w:val="20"/>
          <w:sz w:val="20"/>
          <w:szCs w:val="20"/>
        </w:rPr>
        <w:t xml:space="preserve">PURPOSE</w:t>
      </w:r>
    </w:p>
    <w:p>
      <w:pPr>
        <w:spacing w:after="12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To set the terms that outlive the studio. The SOW covers 90 days; the MSA governs the relationship for years and is the document that matters if something goes wrong, if JazzX is acquired, or if a regulator asks how a third party influencing credit decisions is controlled. Negotiate it once, properly, before the studio — renegotiating an MSA after a successful pilot is the worst possible timing.</w:t>
      </w:r>
    </w:p>
    <w:p>
      <w:pPr>
        <w:pBdr>
          <w:bottom w:val="single" w:color="C9D6DC" w:sz="6" w:space="6"/>
        </w:pBdr>
        <w:spacing w:after="140" w:before="280"/>
      </w:pPr>
      <w:r>
        <w:rPr>
          <w:rFonts w:ascii="Calibri" w:cs="Calibri" w:eastAsia="Calibri" w:hAnsi="Calibri"/>
          <w:b/>
          <w:bCs/>
          <w:color w:val="1B6B7C"/>
          <w:spacing w:val="20"/>
          <w:sz w:val="20"/>
          <w:szCs w:val="20"/>
        </w:rPr>
        <w:t xml:space="preserve">OWNER &amp; RACI</w:t>
      </w:r>
    </w:p>
    <w:tbl>
      <w:tblPr>
        <w:tblW w:type="dxa" w:w="9360"/>
        <w:tblBorders>
          <w:top w:val="single" w:color="C9D6DC" w:sz="2"/>
          <w:left w:val="single" w:color="C9D6DC" w:sz="2"/>
          <w:bottom w:val="single" w:color="C9D6DC" w:sz="2"/>
          <w:right w:val="single" w:color="C9D6DC" w:sz="2"/>
          <w:insideH w:val="single" w:color="C9D6DC" w:sz="2"/>
          <w:insideV w:val="single" w:color="C9D6DC" w:sz="2"/>
        </w:tblBorders>
      </w:tblPr>
      <w:tblGrid>
        <w:gridCol w:w="3182"/>
        <w:gridCol w:w="3744"/>
        <w:gridCol w:w="2434"/>
      </w:tblGrid>
      <w:tr>
        <w:trPr>
          <w:tblHeader/>
        </w:trPr>
        <w:tc>
          <w:tcPr>
            <w:tcW w:type="dxa" w:w="3182"/>
            <w:shd w:fill="0E3A4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3744"/>
            <w:shd w:fill="0E3A4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Who (fill in at G0)</w:t>
            </w:r>
          </w:p>
        </w:tc>
        <w:tc>
          <w:tcPr>
            <w:tcW w:type="dxa" w:w="2434"/>
            <w:shd w:fill="0E3A4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 / A / C / I</w:t>
            </w:r>
          </w:p>
        </w:tc>
      </w:tr>
      <w:tr>
        <w:tc>
          <w:tcPr>
            <w:tcW w:type="dxa" w:w="318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Legal</w:t>
            </w:r>
          </w:p>
        </w:tc>
        <w:tc>
          <w:tcPr>
            <w:tcW w:type="dxa" w:w="374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/>
            </w:r>
          </w:p>
        </w:tc>
        <w:tc>
          <w:tcPr>
            <w:tcW w:type="dxa" w:w="243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A — owns the agreement</w:t>
            </w:r>
          </w:p>
        </w:tc>
      </w:tr>
      <w:tr>
        <w:tc>
          <w:tcPr>
            <w:tcW w:type="dxa" w:w="3182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Procurement / Vendor Management</w:t>
            </w:r>
          </w:p>
        </w:tc>
        <w:tc>
          <w:tcPr>
            <w:tcW w:type="dxa" w:w="3744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/>
            </w:r>
          </w:p>
        </w:tc>
        <w:tc>
          <w:tcPr>
            <w:tcW w:type="dxa" w:w="2434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R — negotiates</w:t>
            </w:r>
          </w:p>
        </w:tc>
      </w:tr>
      <w:tr>
        <w:tc>
          <w:tcPr>
            <w:tcW w:type="dxa" w:w="318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Third-Party Risk</w:t>
            </w:r>
          </w:p>
        </w:tc>
        <w:tc>
          <w:tcPr>
            <w:tcW w:type="dxa" w:w="374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/>
            </w:r>
          </w:p>
        </w:tc>
        <w:tc>
          <w:tcPr>
            <w:tcW w:type="dxa" w:w="243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A — vendor risk assessment and ongoing oversight</w:t>
            </w:r>
          </w:p>
        </w:tc>
      </w:tr>
      <w:tr>
        <w:tc>
          <w:tcPr>
            <w:tcW w:type="dxa" w:w="3182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InfoSec</w:t>
            </w:r>
          </w:p>
        </w:tc>
        <w:tc>
          <w:tcPr>
            <w:tcW w:type="dxa" w:w="3744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/>
            </w:r>
          </w:p>
        </w:tc>
        <w:tc>
          <w:tcPr>
            <w:tcW w:type="dxa" w:w="2434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C — security and incident terms</w:t>
            </w:r>
          </w:p>
        </w:tc>
      </w:tr>
      <w:tr>
        <w:tc>
          <w:tcPr>
            <w:tcW w:type="dxa" w:w="318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Compliance</w:t>
            </w:r>
          </w:p>
        </w:tc>
        <w:tc>
          <w:tcPr>
            <w:tcW w:type="dxa" w:w="374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/>
            </w:r>
          </w:p>
        </w:tc>
        <w:tc>
          <w:tcPr>
            <w:tcW w:type="dxa" w:w="243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C — regulatory examination and record-keeping</w:t>
            </w:r>
          </w:p>
        </w:tc>
      </w:tr>
      <w:tr>
        <w:tc>
          <w:tcPr>
            <w:tcW w:type="dxa" w:w="3182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CRO / Executive Sponsor</w:t>
            </w:r>
          </w:p>
        </w:tc>
        <w:tc>
          <w:tcPr>
            <w:tcW w:type="dxa" w:w="3744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/>
            </w:r>
          </w:p>
        </w:tc>
        <w:tc>
          <w:tcPr>
            <w:tcW w:type="dxa" w:w="2434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A — approves the risk position</w:t>
            </w:r>
          </w:p>
        </w:tc>
      </w:tr>
    </w:tbl>
    <w:p>
      <w:pPr>
        <w:spacing w:after="120"/>
      </w:pPr>
    </w:p>
    <w:p>
      <w:pPr>
        <w:pBdr>
          <w:bottom w:val="single" w:color="C9D6DC" w:sz="6" w:space="6"/>
        </w:pBdr>
        <w:spacing w:after="140" w:before="280"/>
      </w:pPr>
      <w:r>
        <w:rPr>
          <w:rFonts w:ascii="Calibri" w:cs="Calibri" w:eastAsia="Calibri" w:hAnsi="Calibri"/>
          <w:b/>
          <w:bCs/>
          <w:color w:val="1B6B7C"/>
          <w:spacing w:val="20"/>
          <w:sz w:val="20"/>
          <w:szCs w:val="20"/>
        </w:rPr>
        <w:t xml:space="preserve">DECISIONS THIS DOCUMENT MAKES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The MSA is negotiated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before the studio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, not after. Signing a thin agreement to start quickly and fixing it later means fixing it from a position of dependence.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Regulatory examination access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is required. As a lender, our supervisors can examine our third-party service providers, and the agreement must not obstruct that.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AI-specific terms are added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— training data use, model change notification, output ownership, explainability support. A general software MSA does not cover a system influencing credit decisions.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Change of control triggers our rights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, not just notice. AI vendors are acquired frequently, and an acquirer may have a different data posture.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Liability is proportionate to the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data and decisions at stake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, not to the fee. A cap set at 12 months of a studio fee is meaningless against a borrower data incident.</w:t>
      </w:r>
    </w:p>
    <w:p>
      <w:pPr>
        <w:pBdr>
          <w:bottom w:val="single" w:color="C9D6DC" w:sz="6" w:space="6"/>
        </w:pBdr>
        <w:spacing w:after="140" w:before="280"/>
      </w:pPr>
      <w:r>
        <w:rPr>
          <w:rFonts w:ascii="Calibri" w:cs="Calibri" w:eastAsia="Calibri" w:hAnsi="Calibri"/>
          <w:b/>
          <w:bCs/>
          <w:color w:val="1B6B7C"/>
          <w:spacing w:val="20"/>
          <w:sz w:val="20"/>
          <w:szCs w:val="20"/>
        </w:rPr>
        <w:t xml:space="preserve">THE FRAMEWORK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0E3A4F"/>
          <w:sz w:val="22"/>
          <w:szCs w:val="22"/>
        </w:rPr>
        <w:t xml:space="preserve">AI-specific terms a general MSA will not contain</w:t>
      </w:r>
    </w:p>
    <w:tbl>
      <w:tblPr>
        <w:tblW w:type="dxa" w:w="9360"/>
        <w:tblBorders>
          <w:top w:val="single" w:color="C9D6DC" w:sz="2"/>
          <w:left w:val="single" w:color="C9D6DC" w:sz="2"/>
          <w:bottom w:val="single" w:color="C9D6DC" w:sz="2"/>
          <w:right w:val="single" w:color="C9D6DC" w:sz="2"/>
          <w:insideH w:val="single" w:color="C9D6DC" w:sz="2"/>
          <w:insideV w:val="single" w:color="C9D6DC" w:sz="2"/>
        </w:tblBorders>
      </w:tblPr>
      <w:tblGrid>
        <w:gridCol w:w="2246"/>
        <w:gridCol w:w="3556"/>
        <w:gridCol w:w="3558"/>
      </w:tblGrid>
      <w:tr>
        <w:trPr>
          <w:tblHeader/>
        </w:trPr>
        <w:tc>
          <w:tcPr>
            <w:tcW w:type="dxa" w:w="2246"/>
            <w:shd w:fill="0E3A4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Term</w:t>
            </w:r>
          </w:p>
        </w:tc>
        <w:tc>
          <w:tcPr>
            <w:tcW w:type="dxa" w:w="3556"/>
            <w:shd w:fill="0E3A4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Position to take</w:t>
            </w:r>
          </w:p>
        </w:tc>
        <w:tc>
          <w:tcPr>
            <w:tcW w:type="dxa" w:w="3558"/>
            <w:shd w:fill="0E3A4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Why it matters here</w:t>
            </w:r>
          </w:p>
        </w:tc>
      </w:tr>
      <w:tr>
        <w:tc>
          <w:tcPr>
            <w:tcW w:type="dxa" w:w="224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Training data use</w:t>
            </w:r>
          </w:p>
        </w:tc>
        <w:tc>
          <w:tcPr>
            <w:tcW w:type="dxa" w:w="355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Our data is never used to train models serving other customers</w:t>
            </w:r>
          </w:p>
        </w:tc>
        <w:tc>
          <w:tcPr>
            <w:tcW w:type="dxa" w:w="355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Borrower data and our encoded credit policy are the two things we cannot allow to leak into a competitor's tooling</w:t>
            </w:r>
          </w:p>
        </w:tc>
      </w:tr>
      <w:tr>
        <w:tc>
          <w:tcPr>
            <w:tcW w:type="dxa" w:w="2246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Model change notification</w:t>
            </w:r>
          </w:p>
        </w:tc>
        <w:tc>
          <w:tcPr>
            <w:tcW w:type="dxa" w:w="3556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Written notice before any material model change, with a defined period</w:t>
            </w:r>
          </w:p>
        </w:tc>
        <w:tc>
          <w:tcPr>
            <w:tcW w:type="dxa" w:w="3558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Model behaviour is the thing we are measuring and later relying on; silent change is unmanageable risk</w:t>
            </w:r>
          </w:p>
        </w:tc>
      </w:tr>
      <w:tr>
        <w:tc>
          <w:tcPr>
            <w:tcW w:type="dxa" w:w="224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Output ownership</w:t>
            </w:r>
          </w:p>
        </w:tc>
        <w:tc>
          <w:tcPr>
            <w:tcW w:type="dxa" w:w="355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Outputs generated on our data are ours</w:t>
            </w:r>
          </w:p>
        </w:tc>
        <w:tc>
          <w:tcPr>
            <w:tcW w:type="dxa" w:w="355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Conditions and extractions become part of the loan file and the record</w:t>
            </w:r>
          </w:p>
        </w:tc>
      </w:tr>
      <w:tr>
        <w:tc>
          <w:tcPr>
            <w:tcW w:type="dxa" w:w="2246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Explainability support</w:t>
            </w:r>
          </w:p>
        </w:tc>
        <w:tc>
          <w:tcPr>
            <w:tcW w:type="dxa" w:w="3556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Vendor supports our ability to articulate reasons for any output influencing a decision</w:t>
            </w:r>
          </w:p>
        </w:tc>
        <w:tc>
          <w:tcPr>
            <w:tcW w:type="dxa" w:w="3558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Adverse action requires specific principal reasons (one-pager 03); we cannot satisfy that alone</w:t>
            </w:r>
          </w:p>
        </w:tc>
      </w:tr>
      <w:tr>
        <w:tc>
          <w:tcPr>
            <w:tcW w:type="dxa" w:w="224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Performance warranties</w:t>
            </w:r>
          </w:p>
        </w:tc>
        <w:tc>
          <w:tcPr>
            <w:tcW w:type="dxa" w:w="355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None sought on accuracy; warranties on availability and security instead</w:t>
            </w:r>
          </w:p>
        </w:tc>
        <w:tc>
          <w:tcPr>
            <w:tcW w:type="dxa" w:w="355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Accuracy is measured by the studio; a warranty here would be unenforceable theatre</w:t>
            </w:r>
          </w:p>
        </w:tc>
      </w:tr>
      <w:tr>
        <w:tc>
          <w:tcPr>
            <w:tcW w:type="dxa" w:w="2246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Model provenance</w:t>
            </w:r>
          </w:p>
        </w:tc>
        <w:tc>
          <w:tcPr>
            <w:tcW w:type="dxa" w:w="3556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Disclosure of underlying models and any third-party model providers</w:t>
            </w:r>
          </w:p>
        </w:tc>
        <w:tc>
          <w:tcPr>
            <w:tcW w:type="dxa" w:w="3558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Their subprocessor is our fourth party, and our regulators treat it as ours</w:t>
            </w:r>
          </w:p>
        </w:tc>
      </w:tr>
    </w:tbl>
    <w:p>
      <w:pPr>
        <w:spacing w:after="160"/>
      </w:pP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0E3A4F"/>
          <w:sz w:val="22"/>
          <w:szCs w:val="22"/>
        </w:rPr>
        <w:t xml:space="preserve">Regulated-lender terms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Regulatory examination access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— our supervisors may examine the vendor's books and records relating to services provided to us; the vendor cooperates at no charge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Audit rights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— we may audit security and data handling annually and after any incident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Record retention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— the vendor retains records for the period our regulations require, not their default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Business continuity and resilience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— tested plans, with results shared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Subcontracting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— no subcontracting of material services without consent; subprocessors disclosed and change-notified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Insurance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— cyber and professional liability at levels proportionate to the data held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Incident notification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— within a defined number of hours, with our right to notify borrowers and regulators as required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Exit and transition assistance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— the vendor supports orderly transition even on termination for cause, and cannot hold data hostage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0E3A4F"/>
          <w:sz w:val="22"/>
          <w:szCs w:val="22"/>
        </w:rPr>
        <w:t xml:space="preserve">Change of control — the term people skip</w:t>
      </w:r>
    </w:p>
    <w:p>
      <w:pPr>
        <w:spacing w:after="12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AI companies get acquired. An acquirer may have different data practices, different subprocessors, different jurisdictions, or may be a competitor. Notice alone is not protection; the agreement should give us a decision.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Written notice of any change of control within a defined period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termination right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exercisable for a window after notice, without penalty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Data return and deletion obligations survive the change and bind the acquirer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No assignment of the agreement without our consent where the assignee is a competitor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Continuity of the named individuals for a transition period, or a right to terminate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0E3A4F"/>
          <w:sz w:val="22"/>
          <w:szCs w:val="22"/>
        </w:rPr>
        <w:t xml:space="preserve">Liability — sizing the cap to the risk</w:t>
      </w:r>
    </w:p>
    <w:p>
      <w:pPr>
        <w:spacing w:after="12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Vendors default to a cap of fees paid, often 12 months. For a 90-day studio that is a small number set against borrower data and credit decisions. Two carve-outs matter more than the headline cap.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Data breach and confidentiality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— uncapped or capped at a level reflecting the data, not the fee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IP indemnity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— the vendor indemnifies us for claims that their model or its training infringes third-party rights; this is a live risk in generative AI and is frequently excluded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Gross negligence and wilful misconduct excluded from the cap as standard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Regulatory fines attributable to vendor failure addressed explicitly rather than left ambiguous</w:t>
      </w:r>
    </w:p>
    <w:p>
      <w:pPr>
        <w:pBdr>
          <w:bottom w:val="single" w:color="C9D6DC" w:sz="6" w:space="6"/>
        </w:pBdr>
        <w:spacing w:after="140" w:before="280"/>
      </w:pPr>
      <w:r>
        <w:rPr>
          <w:rFonts w:ascii="Calibri" w:cs="Calibri" w:eastAsia="Calibri" w:hAnsi="Calibri"/>
          <w:b/>
          <w:bCs/>
          <w:color w:val="1B6B7C"/>
          <w:spacing w:val="20"/>
          <w:sz w:val="20"/>
          <w:szCs w:val="20"/>
        </w:rPr>
        <w:t xml:space="preserve">ARTIFACTS &amp; TEMPLATES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0E3A4F"/>
          <w:sz w:val="22"/>
          <w:szCs w:val="22"/>
        </w:rPr>
        <w:t xml:space="preserve">MSA negotiation checklist</w:t>
      </w:r>
    </w:p>
    <w:tbl>
      <w:tblPr>
        <w:tblW w:type="dxa" w:w="9360"/>
        <w:tblBorders>
          <w:top w:val="single" w:color="C9D6DC" w:sz="2"/>
          <w:left w:val="single" w:color="C9D6DC" w:sz="2"/>
          <w:bottom w:val="single" w:color="C9D6DC" w:sz="2"/>
          <w:right w:val="single" w:color="C9D6DC" w:sz="2"/>
          <w:insideH w:val="single" w:color="C9D6DC" w:sz="2"/>
          <w:insideV w:val="single" w:color="C9D6DC" w:sz="2"/>
        </w:tblBorders>
      </w:tblPr>
      <w:tblGrid>
        <w:gridCol w:w="3369"/>
        <w:gridCol w:w="4305"/>
        <w:gridCol w:w="1686"/>
      </w:tblGrid>
      <w:tr>
        <w:trPr>
          <w:tblHeader/>
        </w:trPr>
        <w:tc>
          <w:tcPr>
            <w:tcW w:type="dxa" w:w="3369"/>
            <w:shd w:fill="0E3A4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Term</w:t>
            </w:r>
          </w:p>
        </w:tc>
        <w:tc>
          <w:tcPr>
            <w:tcW w:type="dxa" w:w="4305"/>
            <w:shd w:fill="0E3A4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Our position</w:t>
            </w:r>
          </w:p>
        </w:tc>
        <w:tc>
          <w:tcPr>
            <w:tcW w:type="dxa" w:w="1686"/>
            <w:shd w:fill="0E3A4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Agreed</w:t>
            </w:r>
          </w:p>
        </w:tc>
      </w:tr>
      <w:tr>
        <w:tc>
          <w:tcPr>
            <w:tcW w:type="dxa" w:w="336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Training on our data</w:t>
            </w:r>
          </w:p>
        </w:tc>
        <w:tc>
          <w:tcPr>
            <w:tcW w:type="dxa" w:w="4305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Prohibited</w:t>
            </w:r>
          </w:p>
        </w:tc>
        <w:tc>
          <w:tcPr>
            <w:tcW w:type="dxa" w:w="168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369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Model change notification</w:t>
            </w:r>
          </w:p>
        </w:tc>
        <w:tc>
          <w:tcPr>
            <w:tcW w:type="dxa" w:w="4305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Written, ___ days notice</w:t>
            </w:r>
          </w:p>
        </w:tc>
        <w:tc>
          <w:tcPr>
            <w:tcW w:type="dxa" w:w="1686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36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Output ownership</w:t>
            </w:r>
          </w:p>
        </w:tc>
        <w:tc>
          <w:tcPr>
            <w:tcW w:type="dxa" w:w="4305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Ours</w:t>
            </w:r>
          </w:p>
        </w:tc>
        <w:tc>
          <w:tcPr>
            <w:tcW w:type="dxa" w:w="168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369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Explainability support</w:t>
            </w:r>
          </w:p>
        </w:tc>
        <w:tc>
          <w:tcPr>
            <w:tcW w:type="dxa" w:w="4305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Required</w:t>
            </w:r>
          </w:p>
        </w:tc>
        <w:tc>
          <w:tcPr>
            <w:tcW w:type="dxa" w:w="1686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36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Regulatory examination access</w:t>
            </w:r>
          </w:p>
        </w:tc>
        <w:tc>
          <w:tcPr>
            <w:tcW w:type="dxa" w:w="4305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Required, no charge</w:t>
            </w:r>
          </w:p>
        </w:tc>
        <w:tc>
          <w:tcPr>
            <w:tcW w:type="dxa" w:w="168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369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Audit rights</w:t>
            </w:r>
          </w:p>
        </w:tc>
        <w:tc>
          <w:tcPr>
            <w:tcW w:type="dxa" w:w="4305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Annual and post-incident</w:t>
            </w:r>
          </w:p>
        </w:tc>
        <w:tc>
          <w:tcPr>
            <w:tcW w:type="dxa" w:w="1686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36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Subprocessors</w:t>
            </w:r>
          </w:p>
        </w:tc>
        <w:tc>
          <w:tcPr>
            <w:tcW w:type="dxa" w:w="4305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Disclosed; consent on material change</w:t>
            </w:r>
          </w:p>
        </w:tc>
        <w:tc>
          <w:tcPr>
            <w:tcW w:type="dxa" w:w="168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369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Data location</w:t>
            </w:r>
          </w:p>
        </w:tc>
        <w:tc>
          <w:tcPr>
            <w:tcW w:type="dxa" w:w="4305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Defined; change requires consent</w:t>
            </w:r>
          </w:p>
        </w:tc>
        <w:tc>
          <w:tcPr>
            <w:tcW w:type="dxa" w:w="1686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36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Incident notification</w:t>
            </w:r>
          </w:p>
        </w:tc>
        <w:tc>
          <w:tcPr>
            <w:tcW w:type="dxa" w:w="4305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Within ___ hours</w:t>
            </w:r>
          </w:p>
        </w:tc>
        <w:tc>
          <w:tcPr>
            <w:tcW w:type="dxa" w:w="168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369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Breach / confidentiality liability</w:t>
            </w:r>
          </w:p>
        </w:tc>
        <w:tc>
          <w:tcPr>
            <w:tcW w:type="dxa" w:w="4305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Carved out of the cap</w:t>
            </w:r>
          </w:p>
        </w:tc>
        <w:tc>
          <w:tcPr>
            <w:tcW w:type="dxa" w:w="1686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36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IP indemnity</w:t>
            </w:r>
          </w:p>
        </w:tc>
        <w:tc>
          <w:tcPr>
            <w:tcW w:type="dxa" w:w="4305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Vendor indemnifies</w:t>
            </w:r>
          </w:p>
        </w:tc>
        <w:tc>
          <w:tcPr>
            <w:tcW w:type="dxa" w:w="168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369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Change of control</w:t>
            </w:r>
          </w:p>
        </w:tc>
        <w:tc>
          <w:tcPr>
            <w:tcW w:type="dxa" w:w="4305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Notice + termination right</w:t>
            </w:r>
          </w:p>
        </w:tc>
        <w:tc>
          <w:tcPr>
            <w:tcW w:type="dxa" w:w="1686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36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Termination for convenience</w:t>
            </w:r>
          </w:p>
        </w:tc>
        <w:tc>
          <w:tcPr>
            <w:tcW w:type="dxa" w:w="4305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Permitted, ___ days notice</w:t>
            </w:r>
          </w:p>
        </w:tc>
        <w:tc>
          <w:tcPr>
            <w:tcW w:type="dxa" w:w="168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369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Exit and transition assistance</w:t>
            </w:r>
          </w:p>
        </w:tc>
        <w:tc>
          <w:tcPr>
            <w:tcW w:type="dxa" w:w="4305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Required, including on termination for cause</w:t>
            </w:r>
          </w:p>
        </w:tc>
        <w:tc>
          <w:tcPr>
            <w:tcW w:type="dxa" w:w="1686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36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Insurance</w:t>
            </w:r>
          </w:p>
        </w:tc>
        <w:tc>
          <w:tcPr>
            <w:tcW w:type="dxa" w:w="4305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Cyber and professional liability at $___</w:t>
            </w:r>
          </w:p>
        </w:tc>
        <w:tc>
          <w:tcPr>
            <w:tcW w:type="dxa" w:w="168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/>
            </w:r>
          </w:p>
        </w:tc>
      </w:tr>
    </w:tbl>
    <w:p>
      <w:pPr>
        <w:spacing w:after="160"/>
      </w:pP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0E3A4F"/>
          <w:sz w:val="22"/>
          <w:szCs w:val="22"/>
        </w:rPr>
        <w:t xml:space="preserve">Third-party risk record</w:t>
      </w:r>
    </w:p>
    <w:tbl>
      <w:tblPr>
        <w:tblW w:type="dxa" w:w="9360"/>
        <w:tblBorders>
          <w:top w:val="single" w:color="C9D6DC" w:sz="2"/>
          <w:left w:val="single" w:color="C9D6DC" w:sz="2"/>
          <w:bottom w:val="single" w:color="C9D6DC" w:sz="2"/>
          <w:right w:val="single" w:color="C9D6DC" w:sz="2"/>
          <w:insideH w:val="single" w:color="C9D6DC" w:sz="2"/>
          <w:insideV w:val="single" w:color="C9D6DC" w:sz="2"/>
        </w:tblBorders>
      </w:tblPr>
      <w:tblGrid>
        <w:gridCol w:w="4118"/>
        <w:gridCol w:w="5242"/>
      </w:tblGrid>
      <w:tr>
        <w:trPr>
          <w:tblHeader/>
        </w:trPr>
        <w:tc>
          <w:tcPr>
            <w:tcW w:type="dxa" w:w="4118"/>
            <w:shd w:fill="0E3A4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5242"/>
            <w:shd w:fill="0E3A4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411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Vendor tier / criticality rating</w:t>
            </w:r>
          </w:p>
        </w:tc>
        <w:tc>
          <w:tcPr>
            <w:tcW w:type="dxa" w:w="524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118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SOC 2 Type II or equivalent reviewed</w:t>
            </w:r>
          </w:p>
        </w:tc>
        <w:tc>
          <w:tcPr>
            <w:tcW w:type="dxa" w:w="5242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11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Financial viability assessed</w:t>
            </w:r>
          </w:p>
        </w:tc>
        <w:tc>
          <w:tcPr>
            <w:tcW w:type="dxa" w:w="524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118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Concentration risk considered</w:t>
            </w:r>
          </w:p>
        </w:tc>
        <w:tc>
          <w:tcPr>
            <w:tcW w:type="dxa" w:w="5242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11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Subprocessor / fourth-party map</w:t>
            </w:r>
          </w:p>
        </w:tc>
        <w:tc>
          <w:tcPr>
            <w:tcW w:type="dxa" w:w="524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118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Business continuity plan reviewed</w:t>
            </w:r>
          </w:p>
        </w:tc>
        <w:tc>
          <w:tcPr>
            <w:tcW w:type="dxa" w:w="5242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11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Exit plan documented</w:t>
            </w:r>
          </w:p>
        </w:tc>
        <w:tc>
          <w:tcPr>
            <w:tcW w:type="dxa" w:w="524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118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Ongoing monitoring cadence set</w:t>
            </w:r>
          </w:p>
        </w:tc>
        <w:tc>
          <w:tcPr>
            <w:tcW w:type="dxa" w:w="5242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11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Next review date</w:t>
            </w:r>
          </w:p>
        </w:tc>
        <w:tc>
          <w:tcPr>
            <w:tcW w:type="dxa" w:w="524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/>
            </w:r>
          </w:p>
        </w:tc>
      </w:tr>
    </w:tbl>
    <w:p>
      <w:pPr>
        <w:spacing w:after="160" w:before="80"/>
      </w:pPr>
      <w:r>
        <w:rPr>
          <w:rFonts w:ascii="Calibri" w:cs="Calibri" w:eastAsia="Calibri" w:hAnsi="Calibri"/>
          <w:i/>
          <w:iCs/>
          <w:color w:val="5A6B73"/>
          <w:sz w:val="18"/>
          <w:szCs w:val="18"/>
        </w:rPr>
        <w:t xml:space="preserve">Vendor viability at scale is a must-pass criterion at Gate 4 (one-pager 07). This record is the evidence for it.</w:t>
      </w:r>
    </w:p>
    <w:p>
      <w:pPr>
        <w:pBdr>
          <w:bottom w:val="single" w:color="C9D6DC" w:sz="6" w:space="6"/>
        </w:pBdr>
        <w:spacing w:after="140" w:before="280"/>
      </w:pPr>
      <w:r>
        <w:rPr>
          <w:rFonts w:ascii="Calibri" w:cs="Calibri" w:eastAsia="Calibri" w:hAnsi="Calibri"/>
          <w:b/>
          <w:bCs/>
          <w:color w:val="1B6B7C"/>
          <w:spacing w:val="20"/>
          <w:sz w:val="20"/>
          <w:szCs w:val="20"/>
        </w:rPr>
        <w:t xml:space="preserve">CADENCE</w:t>
      </w:r>
    </w:p>
    <w:tbl>
      <w:tblPr>
        <w:tblW w:type="dxa" w:w="9360"/>
        <w:tblBorders>
          <w:top w:val="single" w:color="C9D6DC" w:sz="2"/>
          <w:left w:val="single" w:color="C9D6DC" w:sz="2"/>
          <w:bottom w:val="single" w:color="C9D6DC" w:sz="2"/>
          <w:right w:val="single" w:color="C9D6DC" w:sz="2"/>
          <w:insideH w:val="single" w:color="C9D6DC" w:sz="2"/>
          <w:insideV w:val="single" w:color="C9D6DC" w:sz="2"/>
        </w:tblBorders>
      </w:tblPr>
      <w:tblGrid>
        <w:gridCol w:w="2059"/>
        <w:gridCol w:w="4492"/>
        <w:gridCol w:w="2809"/>
      </w:tblGrid>
      <w:tr>
        <w:trPr>
          <w:tblHeader/>
        </w:trPr>
        <w:tc>
          <w:tcPr>
            <w:tcW w:type="dxa" w:w="2059"/>
            <w:shd w:fill="0E3A4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When</w:t>
            </w:r>
          </w:p>
        </w:tc>
        <w:tc>
          <w:tcPr>
            <w:tcW w:type="dxa" w:w="4492"/>
            <w:shd w:fill="0E3A4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happens</w:t>
            </w:r>
          </w:p>
        </w:tc>
        <w:tc>
          <w:tcPr>
            <w:tcW w:type="dxa" w:w="2809"/>
            <w:shd w:fill="0E3A4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Output</w:t>
            </w:r>
          </w:p>
        </w:tc>
      </w:tr>
      <w:tr>
        <w:tc>
          <w:tcPr>
            <w:tcW w:type="dxa" w:w="205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Pre-G0</w:t>
            </w:r>
          </w:p>
        </w:tc>
        <w:tc>
          <w:tcPr>
            <w:tcW w:type="dxa" w:w="449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MSA negotiated and executed before the SOW</w:t>
            </w:r>
          </w:p>
        </w:tc>
        <w:tc>
          <w:tcPr>
            <w:tcW w:type="dxa" w:w="280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Executed MSA</w:t>
            </w:r>
          </w:p>
        </w:tc>
      </w:tr>
      <w:tr>
        <w:tc>
          <w:tcPr>
            <w:tcW w:type="dxa" w:w="2059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At G0</w:t>
            </w:r>
          </w:p>
        </w:tc>
        <w:tc>
          <w:tcPr>
            <w:tcW w:type="dxa" w:w="4492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Third-party risk record completed and tiered</w:t>
            </w:r>
          </w:p>
        </w:tc>
        <w:tc>
          <w:tcPr>
            <w:tcW w:type="dxa" w:w="2809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Vendor risk assessment</w:t>
            </w:r>
          </w:p>
        </w:tc>
      </w:tr>
      <w:tr>
        <w:tc>
          <w:tcPr>
            <w:tcW w:type="dxa" w:w="205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On any notice</w:t>
            </w:r>
          </w:p>
        </w:tc>
        <w:tc>
          <w:tcPr>
            <w:tcW w:type="dxa" w:w="449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Model change, subprocessor change, or change of control assessed</w:t>
            </w:r>
          </w:p>
        </w:tc>
        <w:tc>
          <w:tcPr>
            <w:tcW w:type="dxa" w:w="280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Impact assessment</w:t>
            </w:r>
          </w:p>
        </w:tc>
      </w:tr>
      <w:tr>
        <w:tc>
          <w:tcPr>
            <w:tcW w:type="dxa" w:w="2059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At G4</w:t>
            </w:r>
          </w:p>
        </w:tc>
        <w:tc>
          <w:tcPr>
            <w:tcW w:type="dxa" w:w="4492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Viability and terms reassessed for scale</w:t>
            </w:r>
          </w:p>
        </w:tc>
        <w:tc>
          <w:tcPr>
            <w:tcW w:type="dxa" w:w="2809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Must-pass evidence</w:t>
            </w:r>
          </w:p>
        </w:tc>
      </w:tr>
      <w:tr>
        <w:tc>
          <w:tcPr>
            <w:tcW w:type="dxa" w:w="205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Annually</w:t>
            </w:r>
          </w:p>
        </w:tc>
        <w:tc>
          <w:tcPr>
            <w:tcW w:type="dxa" w:w="449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Vendor review, audit rights exercised as appropriate</w:t>
            </w:r>
          </w:p>
        </w:tc>
        <w:tc>
          <w:tcPr>
            <w:tcW w:type="dxa" w:w="280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Ongoing oversight</w:t>
            </w:r>
          </w:p>
        </w:tc>
      </w:tr>
    </w:tbl>
    <w:p>
      <w:pPr>
        <w:spacing w:after="120"/>
      </w:pPr>
    </w:p>
    <w:p>
      <w:pPr>
        <w:pBdr>
          <w:bottom w:val="single" w:color="C9D6DC" w:sz="6" w:space="6"/>
        </w:pBdr>
        <w:spacing w:after="140" w:before="280"/>
      </w:pPr>
      <w:r>
        <w:rPr>
          <w:rFonts w:ascii="Calibri" w:cs="Calibri" w:eastAsia="Calibri" w:hAnsi="Calibri"/>
          <w:b/>
          <w:bCs/>
          <w:color w:val="1B6B7C"/>
          <w:spacing w:val="20"/>
          <w:sz w:val="20"/>
          <w:szCs w:val="20"/>
        </w:rPr>
        <w:t xml:space="preserve">DEFINITION OF DONE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MSA executed before the studio begins, not retrofitted after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Training-on-our-data prohibition and model change notification both present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Regulatory examination access secured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Breach liability and IP indemnity carved out of a fee-based cap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Change of control giving us a termination right, not merely notice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Third-party risk record complete and feeding the Gate 4 viability criterion</w:t>
      </w:r>
    </w:p>
    <w:p>
      <w:pPr>
        <w:pBdr>
          <w:bottom w:val="single" w:color="C9D6DC" w:sz="6" w:space="6"/>
        </w:pBdr>
        <w:spacing w:after="140" w:before="280"/>
      </w:pPr>
      <w:r>
        <w:rPr>
          <w:rFonts w:ascii="Calibri" w:cs="Calibri" w:eastAsia="Calibri" w:hAnsi="Calibri"/>
          <w:b/>
          <w:bCs/>
          <w:color w:val="1B6B7C"/>
          <w:spacing w:val="20"/>
          <w:sz w:val="20"/>
          <w:szCs w:val="20"/>
        </w:rPr>
        <w:t xml:space="preserve">RISKS &amp; ESCALATION</w:t>
      </w:r>
    </w:p>
    <w:tbl>
      <w:tblPr>
        <w:tblW w:type="dxa" w:w="9360"/>
        <w:tblBorders>
          <w:top w:val="single" w:color="C9D6DC" w:sz="2"/>
          <w:left w:val="single" w:color="C9D6DC" w:sz="2"/>
          <w:bottom w:val="single" w:color="C9D6DC" w:sz="2"/>
          <w:right w:val="single" w:color="C9D6DC" w:sz="2"/>
          <w:insideH w:val="single" w:color="C9D6DC" w:sz="2"/>
          <w:insideV w:val="single" w:color="C9D6DC" w:sz="2"/>
        </w:tblBorders>
      </w:tblPr>
      <w:tblGrid>
        <w:gridCol w:w="2808"/>
        <w:gridCol w:w="4212"/>
        <w:gridCol w:w="2340"/>
      </w:tblGrid>
      <w:tr>
        <w:trPr>
          <w:tblHeader/>
        </w:trPr>
        <w:tc>
          <w:tcPr>
            <w:tcW w:type="dxa" w:w="2808"/>
            <w:shd w:fill="0E3A4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Risk</w:t>
            </w:r>
          </w:p>
        </w:tc>
        <w:tc>
          <w:tcPr>
            <w:tcW w:type="dxa" w:w="4212"/>
            <w:shd w:fill="0E3A4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Mitigation</w:t>
            </w:r>
          </w:p>
        </w:tc>
        <w:tc>
          <w:tcPr>
            <w:tcW w:type="dxa" w:w="2340"/>
            <w:shd w:fill="0E3A4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Escalates to</w:t>
            </w:r>
          </w:p>
        </w:tc>
      </w:tr>
      <w:tr>
        <w:tc>
          <w:tcPr>
            <w:tcW w:type="dxa" w:w="280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Thin agreement signed to start quickly, renegotiated from dependence later</w:t>
            </w:r>
          </w:p>
        </w:tc>
        <w:tc>
          <w:tcPr>
            <w:tcW w:type="dxa" w:w="421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MSA executed before the SOW; the studio does not start without it</w:t>
            </w:r>
          </w:p>
        </w:tc>
        <w:tc>
          <w:tcPr>
            <w:tcW w:type="dxa" w:w="234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Legal</w:t>
            </w:r>
          </w:p>
        </w:tc>
      </w:tr>
      <w:tr>
        <w:tc>
          <w:tcPr>
            <w:tcW w:type="dxa" w:w="2808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General software MSA used, missing every AI-specific term</w:t>
            </w:r>
          </w:p>
        </w:tc>
        <w:tc>
          <w:tcPr>
            <w:tcW w:type="dxa" w:w="4212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AI terms checklist applied explicitly; Legal briefed that this is not a standard SaaS purchase</w:t>
            </w:r>
          </w:p>
        </w:tc>
        <w:tc>
          <w:tcPr>
            <w:tcW w:type="dxa" w:w="2340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Legal</w:t>
            </w:r>
          </w:p>
        </w:tc>
      </w:tr>
      <w:tr>
        <w:tc>
          <w:tcPr>
            <w:tcW w:type="dxa" w:w="280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Liability capped at studio fees against borrower-data exposure</w:t>
            </w:r>
          </w:p>
        </w:tc>
        <w:tc>
          <w:tcPr>
            <w:tcW w:type="dxa" w:w="421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Breach and confidentiality carved out; cap sized to data, not fee</w:t>
            </w:r>
          </w:p>
        </w:tc>
        <w:tc>
          <w:tcPr>
            <w:tcW w:type="dxa" w:w="234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Legal</w:t>
            </w:r>
          </w:p>
        </w:tc>
      </w:tr>
      <w:tr>
        <w:tc>
          <w:tcPr>
            <w:tcW w:type="dxa" w:w="2808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Vendor acquired mid-relationship by a party with a different data posture</w:t>
            </w:r>
          </w:p>
        </w:tc>
        <w:tc>
          <w:tcPr>
            <w:tcW w:type="dxa" w:w="4212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Change of control triggers notice and a termination right</w:t>
            </w:r>
          </w:p>
        </w:tc>
        <w:tc>
          <w:tcPr>
            <w:tcW w:type="dxa" w:w="2340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Third-Party Risk</w:t>
            </w:r>
          </w:p>
        </w:tc>
      </w:tr>
      <w:tr>
        <w:tc>
          <w:tcPr>
            <w:tcW w:type="dxa" w:w="280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Regulator cannot examine a third party influencing credit decisions</w:t>
            </w:r>
          </w:p>
        </w:tc>
        <w:tc>
          <w:tcPr>
            <w:tcW w:type="dxa" w:w="421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Examination access secured contractually before any production use</w:t>
            </w:r>
          </w:p>
        </w:tc>
        <w:tc>
          <w:tcPr>
            <w:tcW w:type="dxa" w:w="234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Compliance</w:t>
            </w:r>
          </w:p>
        </w:tc>
      </w:tr>
      <w:tr>
        <w:tc>
          <w:tcPr>
            <w:tcW w:type="dxa" w:w="2808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IP infringement claim arising from model training excluded from indemnity</w:t>
            </w:r>
          </w:p>
        </w:tc>
        <w:tc>
          <w:tcPr>
            <w:tcW w:type="dxa" w:w="4212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Vendor IP indemnity negotiated explicitly; a refusal is a material risk finding</w:t>
            </w:r>
          </w:p>
        </w:tc>
        <w:tc>
          <w:tcPr>
            <w:tcW w:type="dxa" w:w="2340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Legal</w:t>
            </w:r>
          </w:p>
        </w:tc>
      </w:tr>
    </w:tbl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D6DC" w:sz="4" w:space="6"/>
      </w:pBdr>
    </w:pPr>
    <w:r>
      <w:rPr>
        <w:rFonts w:ascii="Calibri" w:cs="Calibri" w:eastAsia="Calibri" w:hAnsi="Calibri"/>
        <w:color w:val="5A6B73"/>
        <w:sz w:val="16"/>
        <w:szCs w:val="16"/>
      </w:rPr>
      <w:t xml:space="preserve">JazzX Design Studio — 90-Day Framework  │  Master Services Agreement (MSA)   </w:t>
    </w:r>
    <w:r>
      <w:rPr>
        <w:rFonts w:ascii="Calibri" w:cs="Calibri" w:eastAsia="Calibri" w:hAnsi="Calibri"/>
        <w:color w:val="5A6B73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403" w:hanging="259"/>
      </w:pPr>
      <w:rPr>
        <w:color w:val="1B6B7C"/>
        <w:sz w:val="21"/>
        <w:szCs w:val="21"/>
      </w:rPr>
    </w:lvl>
    <w:lvl w:ilvl="1" w15:tentative="1">
      <w:start w:val="1"/>
      <w:numFmt w:val="bullet"/>
      <w:lvlText w:val="○"/>
      <w:lvlJc w:val="left"/>
      <w:pPr>
        <w:ind w:left="763" w:hanging="259"/>
      </w:pPr>
      <w:rPr>
        <w:color w:val="5A6B73"/>
        <w:sz w:val="21"/>
        <w:szCs w:val="21"/>
      </w:rPr>
    </w:lvl>
    <w:lvl w:ilvl="2" w15:tentative="1">
      <w:start w:val="1"/>
      <w:numFmt w:val="bullet"/>
      <w:lvlText w:val="▪"/>
      <w:lvlJc w:val="left"/>
      <w:pPr>
        <w:ind w:left="1123" w:hanging="259"/>
      </w:pPr>
      <w:rPr>
        <w:color w:val="5A6B73"/>
        <w:sz w:val="21"/>
        <w:szCs w:val="21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16"/>
      </w:pPr>
      <w:rPr>
        <w:b/>
        <w:bCs/>
        <w:color w:val="1B6B7C"/>
        <w:sz w:val="21"/>
        <w:szCs w:val="21"/>
      </w:rPr>
    </w:lvl>
    <w:lvl w:ilvl="1" w15:tentative="1">
      <w:start w:val="1"/>
      <w:numFmt w:val="lowerLetter"/>
      <w:lvlText w:val="%2."/>
      <w:lvlJc w:val="left"/>
      <w:pPr>
        <w:ind w:left="835" w:hanging="316"/>
      </w:pPr>
      <w:rPr>
        <w:color w:val="5A6B73"/>
        <w:sz w:val="21"/>
        <w:szCs w:val="21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Master Services Agreement (MSA)</dc:title>
  <dc:creator>Design Studio Program Office</dc:creator>
  <dc:description>The durable terms underneath the SOW — written for an AI vendor handling borrower data in a regulated business.</dc:description>
  <cp:lastModifiedBy>Un-named</cp:lastModifiedBy>
  <cp:revision>1</cp:revision>
  <dcterms:created xsi:type="dcterms:W3CDTF">2026-08-04T00:29:15.574Z</dcterms:created>
  <dcterms:modified xsi:type="dcterms:W3CDTF">2026-08-04T00:29:15.574Z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